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557" w:rsidRPr="00A60941" w:rsidRDefault="00453557" w:rsidP="00E732B1">
      <w:pPr>
        <w:pStyle w:val="Textoindependiente"/>
        <w:widowControl/>
        <w:tabs>
          <w:tab w:val="left" w:pos="6521"/>
        </w:tabs>
        <w:suppressAutoHyphens w:val="0"/>
        <w:ind w:left="3544" w:right="2126" w:hanging="992"/>
        <w:rPr>
          <w:rFonts w:cs="Tahoma"/>
          <w:i/>
          <w:sz w:val="20"/>
        </w:rPr>
      </w:pPr>
      <w:r w:rsidRPr="00A60941">
        <w:rPr>
          <w:rFonts w:cs="Tahoma"/>
          <w:b/>
          <w:i/>
          <w:sz w:val="20"/>
        </w:rPr>
        <w:t>Sumilla</w:t>
      </w:r>
      <w:r w:rsidRPr="00A60941">
        <w:rPr>
          <w:rFonts w:cs="Tahoma"/>
          <w:i/>
          <w:sz w:val="20"/>
        </w:rPr>
        <w:t xml:space="preserve">: </w:t>
      </w:r>
      <w:r w:rsidRPr="00A60941">
        <w:rPr>
          <w:rFonts w:cs="Tahoma"/>
          <w:i/>
          <w:sz w:val="20"/>
        </w:rPr>
        <w:tab/>
        <w:t xml:space="preserve">Dentro de los dos días hábiles siguientes al consentimiento de la buena pro, la Entidad deberá citar al postor ganador, otorgándole un plazo mínimo de cinco días y máximo de diez  días hábiles dentro del cual deberá presentarse a suscribir el contrato con toda la documentación requerida.  </w:t>
      </w:r>
    </w:p>
    <w:p w:rsidR="00453557" w:rsidRPr="00A60941" w:rsidRDefault="00453557" w:rsidP="00453557">
      <w:pPr>
        <w:pStyle w:val="Textoindependiente"/>
        <w:widowControl/>
        <w:tabs>
          <w:tab w:val="left" w:pos="6804"/>
        </w:tabs>
        <w:suppressAutoHyphens w:val="0"/>
        <w:ind w:left="3544" w:right="1843" w:hanging="992"/>
        <w:rPr>
          <w:rFonts w:cs="Tahoma"/>
          <w:sz w:val="20"/>
        </w:rPr>
      </w:pPr>
      <w:r w:rsidRPr="00A60941">
        <w:rPr>
          <w:rFonts w:cs="Tahoma"/>
          <w:sz w:val="20"/>
        </w:rPr>
        <w:t xml:space="preserve"> </w:t>
      </w:r>
    </w:p>
    <w:p w:rsidR="00453557" w:rsidRPr="00A60941" w:rsidRDefault="00DD50C3" w:rsidP="00453557">
      <w:pPr>
        <w:pStyle w:val="Textoindependiente3"/>
        <w:spacing w:after="0"/>
        <w:ind w:left="4956" w:firstLine="84"/>
        <w:jc w:val="both"/>
        <w:rPr>
          <w:rFonts w:ascii="Tahoma" w:hAnsi="Tahoma" w:cs="Tahoma"/>
          <w:b/>
          <w:sz w:val="20"/>
          <w:szCs w:val="20"/>
        </w:rPr>
      </w:pPr>
      <w:r>
        <w:rPr>
          <w:rFonts w:ascii="Tahoma" w:hAnsi="Tahoma" w:cs="Tahoma"/>
          <w:b/>
          <w:sz w:val="20"/>
          <w:szCs w:val="20"/>
        </w:rPr>
        <w:t xml:space="preserve">           </w:t>
      </w:r>
      <w:r w:rsidR="00453557" w:rsidRPr="00A60941">
        <w:rPr>
          <w:rFonts w:ascii="Tahoma" w:hAnsi="Tahoma" w:cs="Tahoma"/>
          <w:b/>
          <w:sz w:val="20"/>
          <w:szCs w:val="20"/>
        </w:rPr>
        <w:t xml:space="preserve">Lima,  </w:t>
      </w:r>
      <w:r>
        <w:rPr>
          <w:rFonts w:ascii="Tahoma" w:hAnsi="Tahoma" w:cs="Tahoma"/>
          <w:b/>
          <w:sz w:val="20"/>
          <w:szCs w:val="20"/>
        </w:rPr>
        <w:t>09 de Febrero de 2011</w:t>
      </w:r>
    </w:p>
    <w:p w:rsidR="00453557" w:rsidRPr="00A60941" w:rsidRDefault="00453557" w:rsidP="00453557">
      <w:pPr>
        <w:pStyle w:val="Textoindependiente"/>
        <w:tabs>
          <w:tab w:val="left" w:pos="540"/>
        </w:tabs>
        <w:rPr>
          <w:rFonts w:cs="Tahoma"/>
          <w:b/>
          <w:sz w:val="20"/>
          <w:lang w:val="es-PE"/>
        </w:rPr>
      </w:pPr>
    </w:p>
    <w:p w:rsidR="00453557" w:rsidRPr="00A60941" w:rsidRDefault="00453557" w:rsidP="00453557">
      <w:pPr>
        <w:jc w:val="both"/>
        <w:rPr>
          <w:rFonts w:ascii="Tahoma" w:hAnsi="Tahoma" w:cs="Tahoma"/>
        </w:rPr>
      </w:pPr>
      <w:r w:rsidRPr="00A60941">
        <w:rPr>
          <w:rFonts w:ascii="Tahoma" w:hAnsi="Tahoma" w:cs="Tahoma"/>
          <w:b/>
        </w:rPr>
        <w:t>Visto</w:t>
      </w:r>
      <w:r w:rsidRPr="00A60941">
        <w:rPr>
          <w:rFonts w:ascii="Tahoma" w:hAnsi="Tahoma" w:cs="Tahoma"/>
        </w:rPr>
        <w:t xml:space="preserve"> en sesión de fecha </w:t>
      </w:r>
      <w:r w:rsidR="00A60941" w:rsidRPr="00A60941">
        <w:rPr>
          <w:rFonts w:ascii="Tahoma" w:hAnsi="Tahoma" w:cs="Tahoma"/>
        </w:rPr>
        <w:t>08</w:t>
      </w:r>
      <w:r w:rsidRPr="00A60941">
        <w:rPr>
          <w:rFonts w:ascii="Tahoma" w:hAnsi="Tahoma" w:cs="Tahoma"/>
        </w:rPr>
        <w:t xml:space="preserve"> de </w:t>
      </w:r>
      <w:r w:rsidR="00A60941" w:rsidRPr="00A60941">
        <w:rPr>
          <w:rFonts w:ascii="Tahoma" w:hAnsi="Tahoma" w:cs="Tahoma"/>
        </w:rPr>
        <w:t xml:space="preserve">febrero </w:t>
      </w:r>
      <w:r w:rsidRPr="00A60941">
        <w:rPr>
          <w:rFonts w:ascii="Tahoma" w:hAnsi="Tahoma" w:cs="Tahoma"/>
        </w:rPr>
        <w:t xml:space="preserve">de 2011 de la Primera Sala del Tribunal de Contrataciones del Estado el Expediente N° </w:t>
      </w:r>
      <w:r w:rsidR="00A60941" w:rsidRPr="00A60941">
        <w:rPr>
          <w:rFonts w:ascii="Tahoma" w:hAnsi="Tahoma" w:cs="Tahoma"/>
        </w:rPr>
        <w:t>1192</w:t>
      </w:r>
      <w:r w:rsidRPr="00A60941">
        <w:rPr>
          <w:rFonts w:ascii="Tahoma" w:hAnsi="Tahoma" w:cs="Tahoma"/>
        </w:rPr>
        <w:t xml:space="preserve">.2010.TC, sobre el procedimiento de aplicación de sanción a la empresa </w:t>
      </w:r>
      <w:r w:rsidR="00A60941" w:rsidRPr="00A60941">
        <w:rPr>
          <w:rFonts w:ascii="Tahoma" w:hAnsi="Tahoma" w:cs="Tahoma"/>
        </w:rPr>
        <w:t>AGROVETERINARIA CUZCO E.I.R.L.</w:t>
      </w:r>
      <w:r w:rsidRPr="00A60941">
        <w:rPr>
          <w:rFonts w:ascii="Tahoma" w:hAnsi="Tahoma" w:cs="Tahoma"/>
        </w:rPr>
        <w:t>, por supuesta responsabilidad en no suscribir de manera injustificada</w:t>
      </w:r>
      <w:r w:rsidR="00A60941">
        <w:rPr>
          <w:rFonts w:ascii="Tahoma" w:hAnsi="Tahoma" w:cs="Tahoma"/>
        </w:rPr>
        <w:t xml:space="preserve"> </w:t>
      </w:r>
      <w:r w:rsidR="00A60941" w:rsidRPr="00A60941">
        <w:rPr>
          <w:rFonts w:ascii="Tahoma" w:hAnsi="Tahoma" w:cs="Tahoma"/>
        </w:rPr>
        <w:t>el contrato</w:t>
      </w:r>
      <w:r w:rsidRPr="00A60941">
        <w:rPr>
          <w:rFonts w:ascii="Tahoma" w:hAnsi="Tahoma" w:cs="Tahoma"/>
        </w:rPr>
        <w:t xml:space="preserve"> derivado de</w:t>
      </w:r>
      <w:r w:rsidR="00A60941">
        <w:rPr>
          <w:rFonts w:ascii="Tahoma" w:hAnsi="Tahoma" w:cs="Tahoma"/>
        </w:rPr>
        <w:t xml:space="preserve"> </w:t>
      </w:r>
      <w:r w:rsidRPr="00A60941">
        <w:rPr>
          <w:rFonts w:ascii="Tahoma" w:hAnsi="Tahoma" w:cs="Tahoma"/>
        </w:rPr>
        <w:t>l</w:t>
      </w:r>
      <w:r w:rsidR="00A60941">
        <w:rPr>
          <w:rFonts w:ascii="Tahoma" w:hAnsi="Tahoma" w:cs="Tahoma"/>
        </w:rPr>
        <w:t>a</w:t>
      </w:r>
      <w:r w:rsidRPr="00A60941">
        <w:rPr>
          <w:rFonts w:ascii="Tahoma" w:hAnsi="Tahoma" w:cs="Tahoma"/>
        </w:rPr>
        <w:t xml:space="preserve"> </w:t>
      </w:r>
      <w:r w:rsidR="00A60941" w:rsidRPr="00A60941">
        <w:rPr>
          <w:rFonts w:ascii="Tahoma" w:hAnsi="Tahoma" w:cs="Tahoma"/>
        </w:rPr>
        <w:t xml:space="preserve">Adjudicación Directa Selectiva Nº 036-2010-CEP-MDE/LC, </w:t>
      </w:r>
      <w:r w:rsidR="00A60941">
        <w:rPr>
          <w:rFonts w:ascii="Tahoma" w:hAnsi="Tahoma" w:cs="Tahoma"/>
        </w:rPr>
        <w:t>efectuada por l</w:t>
      </w:r>
      <w:r w:rsidR="00A60941" w:rsidRPr="00A60941">
        <w:rPr>
          <w:rFonts w:ascii="Tahoma" w:hAnsi="Tahoma" w:cs="Tahoma"/>
        </w:rPr>
        <w:t>a Municipalidad Distrital de Echarate para la adquisición de repuestos para tractor oruga d65x komatsu para gerenciar recursos materiales, humanos y finacieros</w:t>
      </w:r>
      <w:r w:rsidRPr="00A60941">
        <w:rPr>
          <w:rFonts w:ascii="Tahoma" w:hAnsi="Tahoma" w:cs="Tahoma"/>
          <w:color w:val="000000"/>
        </w:rPr>
        <w:t xml:space="preserve"> atendiendo a los siguientes:    </w:t>
      </w:r>
    </w:p>
    <w:p w:rsidR="00453557" w:rsidRPr="00A60941" w:rsidRDefault="00453557" w:rsidP="00453557">
      <w:pPr>
        <w:pStyle w:val="Textoindependiente"/>
        <w:widowControl/>
        <w:tabs>
          <w:tab w:val="left" w:pos="540"/>
        </w:tabs>
        <w:suppressAutoHyphens w:val="0"/>
        <w:rPr>
          <w:rFonts w:cs="Tahoma"/>
          <w:sz w:val="20"/>
        </w:rPr>
      </w:pPr>
    </w:p>
    <w:p w:rsidR="00453557" w:rsidRPr="00A60941" w:rsidRDefault="00453557" w:rsidP="00453557">
      <w:pPr>
        <w:jc w:val="both"/>
        <w:rPr>
          <w:rFonts w:ascii="Tahoma" w:hAnsi="Tahoma" w:cs="Tahoma"/>
          <w:b/>
          <w:shadow/>
        </w:rPr>
      </w:pPr>
      <w:r w:rsidRPr="00A60941">
        <w:rPr>
          <w:rFonts w:ascii="Tahoma" w:hAnsi="Tahoma" w:cs="Tahoma"/>
          <w:b/>
          <w:shadow/>
        </w:rPr>
        <w:t>ANTECEDENTES:</w:t>
      </w:r>
    </w:p>
    <w:p w:rsidR="00453557" w:rsidRPr="00A60941" w:rsidRDefault="00453557" w:rsidP="00453557">
      <w:pPr>
        <w:rPr>
          <w:rFonts w:ascii="Tahoma" w:hAnsi="Tahoma" w:cs="Tahoma"/>
          <w:b/>
          <w:bCs/>
        </w:rPr>
      </w:pPr>
    </w:p>
    <w:p w:rsidR="00453557" w:rsidRPr="00A60941" w:rsidRDefault="00A60941" w:rsidP="00453557">
      <w:pPr>
        <w:numPr>
          <w:ilvl w:val="0"/>
          <w:numId w:val="7"/>
        </w:numPr>
        <w:jc w:val="both"/>
        <w:rPr>
          <w:rFonts w:ascii="Tahoma" w:hAnsi="Tahoma" w:cs="Tahoma"/>
        </w:rPr>
      </w:pPr>
      <w:r>
        <w:rPr>
          <w:rFonts w:ascii="Tahoma" w:hAnsi="Tahoma" w:cs="Tahoma"/>
        </w:rPr>
        <w:t>El 04 de mayo de 2010, l</w:t>
      </w:r>
      <w:r w:rsidR="00453557" w:rsidRPr="00A60941">
        <w:rPr>
          <w:rFonts w:ascii="Tahoma" w:hAnsi="Tahoma" w:cs="Tahoma"/>
        </w:rPr>
        <w:t>a Municipalidad Distrital de Echarate, convocó a la Adjudicación Directa Selectiva Nº 036-2010-CEP-MDE/LC, para la adquisición de repuestos para tractor oruga d65x komatsu para gerenciar recursos materiales, humanos y finacieros, por un valor referencial ascendente a S/. 117, 950.86 Nuevos Soles.</w:t>
      </w:r>
    </w:p>
    <w:p w:rsidR="00453557" w:rsidRPr="00A60941" w:rsidRDefault="00453557" w:rsidP="00453557">
      <w:pPr>
        <w:ind w:left="720"/>
        <w:rPr>
          <w:rFonts w:ascii="Tahoma" w:hAnsi="Tahoma" w:cs="Tahoma"/>
        </w:rPr>
      </w:pPr>
    </w:p>
    <w:p w:rsidR="00453557" w:rsidRPr="00A60941" w:rsidRDefault="00453557" w:rsidP="00453557">
      <w:pPr>
        <w:numPr>
          <w:ilvl w:val="0"/>
          <w:numId w:val="7"/>
        </w:numPr>
        <w:jc w:val="both"/>
        <w:rPr>
          <w:rFonts w:ascii="Tahoma" w:hAnsi="Tahoma" w:cs="Tahoma"/>
        </w:rPr>
      </w:pPr>
      <w:r w:rsidRPr="00A60941">
        <w:rPr>
          <w:rFonts w:ascii="Tahoma" w:hAnsi="Tahoma" w:cs="Tahoma"/>
        </w:rPr>
        <w:t>El 24 de mayo de 2010, se llevó a cabo el otorgamiento de la buena pro a favor de la empresa AGROVETERINARIA CUZCO E.I.R.L., en adelante el Postor.</w:t>
      </w:r>
    </w:p>
    <w:p w:rsidR="00453557" w:rsidRPr="00A60941" w:rsidRDefault="00453557" w:rsidP="00453557">
      <w:pPr>
        <w:pStyle w:val="Prrafodelista"/>
        <w:rPr>
          <w:sz w:val="20"/>
          <w:szCs w:val="20"/>
        </w:rPr>
      </w:pPr>
    </w:p>
    <w:p w:rsidR="00453557" w:rsidRPr="00A60941" w:rsidRDefault="00453557" w:rsidP="00453557">
      <w:pPr>
        <w:numPr>
          <w:ilvl w:val="0"/>
          <w:numId w:val="7"/>
        </w:numPr>
        <w:jc w:val="both"/>
        <w:rPr>
          <w:rFonts w:ascii="Tahoma" w:hAnsi="Tahoma" w:cs="Tahoma"/>
        </w:rPr>
      </w:pPr>
      <w:r w:rsidRPr="00A60941">
        <w:rPr>
          <w:rFonts w:ascii="Tahoma" w:hAnsi="Tahoma" w:cs="Tahoma"/>
        </w:rPr>
        <w:t>Mediante carta Nº 0153-2010-DL-MDE/LC de fecha 01 de junio de 2010, remitida vía fax, se notificó al postor adjudicatario con la buena pro la citación para la firma del contrato,  efectos que se apersone a suscribir el contrato dentro de los 05 días hábiles siguientes de recibido el contrato con documentación correspondientes.</w:t>
      </w:r>
    </w:p>
    <w:p w:rsidR="00453557" w:rsidRPr="00A60941" w:rsidRDefault="00453557" w:rsidP="00453557">
      <w:pPr>
        <w:pStyle w:val="Prrafodelista"/>
        <w:rPr>
          <w:sz w:val="20"/>
          <w:szCs w:val="20"/>
        </w:rPr>
      </w:pPr>
    </w:p>
    <w:p w:rsidR="00453557" w:rsidRPr="00A60941" w:rsidRDefault="00453557" w:rsidP="00453557">
      <w:pPr>
        <w:numPr>
          <w:ilvl w:val="0"/>
          <w:numId w:val="7"/>
        </w:numPr>
        <w:jc w:val="both"/>
        <w:rPr>
          <w:rFonts w:ascii="Tahoma" w:hAnsi="Tahoma" w:cs="Tahoma"/>
        </w:rPr>
      </w:pPr>
      <w:r w:rsidRPr="00A60941">
        <w:rPr>
          <w:rFonts w:ascii="Tahoma" w:hAnsi="Tahoma" w:cs="Tahoma"/>
        </w:rPr>
        <w:t>Mediante Carta de fecha 03 de junio de 2010, el Postor solicitó a la Entidad se amplíe el plazo para la suscripción del contrato, otorgándose 10 días para tales fines.</w:t>
      </w:r>
    </w:p>
    <w:p w:rsidR="00453557" w:rsidRPr="00A60941" w:rsidRDefault="00453557" w:rsidP="00453557">
      <w:pPr>
        <w:pStyle w:val="Prrafodelista"/>
        <w:rPr>
          <w:sz w:val="20"/>
          <w:szCs w:val="20"/>
        </w:rPr>
      </w:pPr>
    </w:p>
    <w:p w:rsidR="00453557" w:rsidRPr="00A60941" w:rsidRDefault="00453557" w:rsidP="00453557">
      <w:pPr>
        <w:numPr>
          <w:ilvl w:val="0"/>
          <w:numId w:val="7"/>
        </w:numPr>
        <w:jc w:val="both"/>
        <w:rPr>
          <w:rFonts w:ascii="Tahoma" w:hAnsi="Tahoma" w:cs="Tahoma"/>
        </w:rPr>
      </w:pPr>
      <w:r w:rsidRPr="00A60941">
        <w:rPr>
          <w:rFonts w:ascii="Tahoma" w:hAnsi="Tahoma" w:cs="Tahoma"/>
        </w:rPr>
        <w:t>Con Carta de fecha 08 de junio de 2010, remitida vía fax el día 09 del presente mes y año, la Entidad denegó la solicitud presentada por el Postor, y se le reitero que debía cumplir con la suscripción del contrato en el plazo otorgado.</w:t>
      </w:r>
    </w:p>
    <w:p w:rsidR="00453557" w:rsidRPr="00A60941" w:rsidRDefault="00453557" w:rsidP="00453557">
      <w:pPr>
        <w:pStyle w:val="Prrafodelista"/>
        <w:rPr>
          <w:sz w:val="20"/>
          <w:szCs w:val="20"/>
        </w:rPr>
      </w:pPr>
    </w:p>
    <w:p w:rsidR="00453557" w:rsidRPr="00A60941" w:rsidRDefault="00453557" w:rsidP="00453557">
      <w:pPr>
        <w:numPr>
          <w:ilvl w:val="0"/>
          <w:numId w:val="7"/>
        </w:numPr>
        <w:jc w:val="both"/>
        <w:rPr>
          <w:rFonts w:ascii="Tahoma" w:hAnsi="Tahoma" w:cs="Tahoma"/>
        </w:rPr>
      </w:pPr>
      <w:r w:rsidRPr="00A60941">
        <w:rPr>
          <w:rFonts w:ascii="Tahoma" w:hAnsi="Tahoma" w:cs="Tahoma"/>
        </w:rPr>
        <w:t>Mediante Informe Nº 011-2010-GPS/DL/MDE-LC, de fecha 09 de junio de 2010, ante la ausencia del postor en suscribir el contrato, la Entidad dispuso citar la para firma del contrato al postor que ocupo el segundo lugar en orden de prelación.</w:t>
      </w:r>
    </w:p>
    <w:p w:rsidR="00453557" w:rsidRPr="00A60941" w:rsidRDefault="00453557" w:rsidP="00453557">
      <w:pPr>
        <w:pStyle w:val="Prrafodelista"/>
        <w:rPr>
          <w:sz w:val="20"/>
          <w:szCs w:val="20"/>
        </w:rPr>
      </w:pPr>
    </w:p>
    <w:p w:rsidR="00453557" w:rsidRPr="00A60941" w:rsidRDefault="00453557" w:rsidP="00453557">
      <w:pPr>
        <w:numPr>
          <w:ilvl w:val="0"/>
          <w:numId w:val="7"/>
        </w:numPr>
        <w:jc w:val="both"/>
        <w:rPr>
          <w:rFonts w:ascii="Tahoma" w:hAnsi="Tahoma" w:cs="Tahoma"/>
        </w:rPr>
      </w:pPr>
      <w:r w:rsidRPr="00A60941">
        <w:rPr>
          <w:rFonts w:ascii="Tahoma" w:hAnsi="Tahoma" w:cs="Tahoma"/>
        </w:rPr>
        <w:t>Mediante formulario de aplicación de sanción con registro Nº 7959, presentado el 07 de setiembre de 2010, la Entidad comunicó a este Tribunal que el Postor no habría cumplido con suscribir el contrato de manera injustificada.</w:t>
      </w:r>
    </w:p>
    <w:p w:rsidR="00453557" w:rsidRPr="00A60941" w:rsidRDefault="00453557" w:rsidP="00453557">
      <w:pPr>
        <w:pStyle w:val="Prrafodelista"/>
        <w:rPr>
          <w:sz w:val="20"/>
          <w:szCs w:val="20"/>
        </w:rPr>
      </w:pPr>
    </w:p>
    <w:p w:rsidR="00453557" w:rsidRPr="00A60941" w:rsidRDefault="00453557" w:rsidP="00453557">
      <w:pPr>
        <w:numPr>
          <w:ilvl w:val="0"/>
          <w:numId w:val="7"/>
        </w:numPr>
        <w:jc w:val="both"/>
        <w:rPr>
          <w:rFonts w:ascii="Tahoma" w:hAnsi="Tahoma" w:cs="Tahoma"/>
        </w:rPr>
      </w:pPr>
      <w:r w:rsidRPr="00A60941">
        <w:rPr>
          <w:rFonts w:ascii="Tahoma" w:hAnsi="Tahoma" w:cs="Tahoma"/>
        </w:rPr>
        <w:lastRenderedPageBreak/>
        <w:t xml:space="preserve">Con Acuerdo Nº 595/2010.TC-S1 de fecha 07 de diciembre de 2010, la Primera Sala del Tribunal dispuso dar inicio al procedimiento administrativo sancionador contra el Postor,  por supuesta responsabilidad en </w:t>
      </w:r>
      <w:r w:rsidRPr="00A60941">
        <w:rPr>
          <w:rFonts w:ascii="Tahoma" w:hAnsi="Tahoma" w:cs="Tahoma"/>
          <w:lang w:val="es-ES_tradnl"/>
        </w:rPr>
        <w:t>no haber suscrito el con</w:t>
      </w:r>
      <w:r w:rsidRPr="00A60941">
        <w:rPr>
          <w:rFonts w:ascii="Tahoma" w:hAnsi="Tahoma" w:cs="Tahoma"/>
        </w:rPr>
        <w:t>trato derivado de la Adjudicación Directa Selectiva Nº 036-2010-CEP-MDE/LC. En virtud a ello, se le otorgó el plazo de diez días para que presente sus descargos.</w:t>
      </w:r>
    </w:p>
    <w:p w:rsidR="00453557" w:rsidRPr="00A60941" w:rsidRDefault="00453557" w:rsidP="00453557">
      <w:pPr>
        <w:pStyle w:val="Prrafodelista"/>
        <w:rPr>
          <w:sz w:val="20"/>
          <w:szCs w:val="20"/>
        </w:rPr>
      </w:pPr>
    </w:p>
    <w:p w:rsidR="00453557" w:rsidRPr="00A60941" w:rsidRDefault="00453557" w:rsidP="00453557">
      <w:pPr>
        <w:numPr>
          <w:ilvl w:val="0"/>
          <w:numId w:val="7"/>
        </w:numPr>
        <w:jc w:val="both"/>
        <w:rPr>
          <w:rFonts w:ascii="Tahoma" w:hAnsi="Tahoma" w:cs="Tahoma"/>
        </w:rPr>
      </w:pPr>
      <w:r w:rsidRPr="00A60941">
        <w:rPr>
          <w:rFonts w:ascii="Tahoma" w:hAnsi="Tahoma" w:cs="Tahoma"/>
        </w:rPr>
        <w:t>Con escrito de fecha 03 de enero de 2011, el Postor presentó sus descargos en los siguientes términos:</w:t>
      </w:r>
    </w:p>
    <w:p w:rsidR="00453557" w:rsidRPr="00A60941" w:rsidRDefault="00453557" w:rsidP="00453557">
      <w:pPr>
        <w:pStyle w:val="Prrafodelista"/>
        <w:rPr>
          <w:sz w:val="20"/>
          <w:szCs w:val="20"/>
        </w:rPr>
      </w:pPr>
    </w:p>
    <w:p w:rsidR="00453557" w:rsidRPr="00A60941" w:rsidRDefault="00453557" w:rsidP="00453557">
      <w:pPr>
        <w:pStyle w:val="Prrafodelista"/>
        <w:widowControl/>
        <w:numPr>
          <w:ilvl w:val="0"/>
          <w:numId w:val="8"/>
        </w:numPr>
        <w:suppressAutoHyphens w:val="0"/>
        <w:jc w:val="both"/>
        <w:rPr>
          <w:sz w:val="20"/>
          <w:szCs w:val="20"/>
        </w:rPr>
      </w:pPr>
      <w:r w:rsidRPr="00A60941">
        <w:rPr>
          <w:sz w:val="20"/>
          <w:szCs w:val="20"/>
        </w:rPr>
        <w:t>El otorgamiento de la buena pro se realizó el  24 de mayo de 2010, y quedo consentida el 01 de junio de 2010, conforme fue registrado en el SEACE. En esa misma fecha, la Entidad citó vía fax al postor para la suscripción del contrato, cuando lo correcto era hacerlo dentro de los dos días siguientes al consentimiento, por lo que no se cumplió con el procedimiento.</w:t>
      </w:r>
    </w:p>
    <w:p w:rsidR="00453557" w:rsidRPr="00A60941" w:rsidRDefault="00453557" w:rsidP="00453557">
      <w:pPr>
        <w:pStyle w:val="Prrafodelista"/>
        <w:ind w:left="1428"/>
        <w:rPr>
          <w:sz w:val="20"/>
          <w:szCs w:val="20"/>
        </w:rPr>
      </w:pPr>
    </w:p>
    <w:p w:rsidR="00453557" w:rsidRPr="00A60941" w:rsidRDefault="00453557" w:rsidP="00453557">
      <w:pPr>
        <w:pStyle w:val="Prrafodelista"/>
        <w:widowControl/>
        <w:numPr>
          <w:ilvl w:val="0"/>
          <w:numId w:val="8"/>
        </w:numPr>
        <w:suppressAutoHyphens w:val="0"/>
        <w:jc w:val="both"/>
        <w:rPr>
          <w:sz w:val="20"/>
          <w:szCs w:val="20"/>
        </w:rPr>
      </w:pPr>
      <w:r w:rsidRPr="00A60941">
        <w:rPr>
          <w:sz w:val="20"/>
          <w:szCs w:val="20"/>
        </w:rPr>
        <w:t>El Postor indica que siempre tuvo intención de suscribir el contrato, pues  solicitó a la Entidad ampliación de plazo para tal fin, y así obtener los documentos requeridos, tales como la constancia de no estar inhabilitado para contratar con el Estado; así como la tramitación de la carta fianza correspondiente.</w:t>
      </w:r>
    </w:p>
    <w:p w:rsidR="00453557" w:rsidRPr="00A60941" w:rsidRDefault="00453557" w:rsidP="00453557">
      <w:pPr>
        <w:pStyle w:val="Prrafodelista"/>
        <w:rPr>
          <w:sz w:val="20"/>
          <w:szCs w:val="20"/>
        </w:rPr>
      </w:pPr>
    </w:p>
    <w:p w:rsidR="00453557" w:rsidRPr="00A60941" w:rsidRDefault="00453557" w:rsidP="00453557">
      <w:pPr>
        <w:pStyle w:val="Prrafodelista"/>
        <w:widowControl/>
        <w:numPr>
          <w:ilvl w:val="0"/>
          <w:numId w:val="8"/>
        </w:numPr>
        <w:suppressAutoHyphens w:val="0"/>
        <w:jc w:val="both"/>
        <w:rPr>
          <w:sz w:val="20"/>
          <w:szCs w:val="20"/>
        </w:rPr>
      </w:pPr>
      <w:r w:rsidRPr="00A60941">
        <w:rPr>
          <w:sz w:val="20"/>
          <w:szCs w:val="20"/>
        </w:rPr>
        <w:t>En virtud a la discrecionalidad que ostenta el Comité Especial, se debió aceptar la petición de ampliación de plazo, tomando en consideración que el otorgamiento de buena pro al segundo postor ha sido informado al SEACE el 15 de junio de 2010.</w:t>
      </w:r>
    </w:p>
    <w:p w:rsidR="00453557" w:rsidRPr="00A60941" w:rsidRDefault="00453557" w:rsidP="00453557">
      <w:pPr>
        <w:pStyle w:val="Prrafodelista"/>
        <w:rPr>
          <w:sz w:val="20"/>
          <w:szCs w:val="20"/>
        </w:rPr>
      </w:pPr>
    </w:p>
    <w:p w:rsidR="00453557" w:rsidRPr="00A60941" w:rsidRDefault="00453557" w:rsidP="00453557">
      <w:pPr>
        <w:pStyle w:val="Prrafodelista"/>
        <w:widowControl/>
        <w:numPr>
          <w:ilvl w:val="0"/>
          <w:numId w:val="8"/>
        </w:numPr>
        <w:suppressAutoHyphens w:val="0"/>
        <w:jc w:val="both"/>
        <w:rPr>
          <w:sz w:val="20"/>
          <w:szCs w:val="20"/>
        </w:rPr>
      </w:pPr>
      <w:r w:rsidRPr="00A60941">
        <w:rPr>
          <w:sz w:val="20"/>
          <w:szCs w:val="20"/>
        </w:rPr>
        <w:t>Debe señalarse que el 04 de junio de 2010, se inició el trámite de obtención de la carta fianza a favor de la Entidad, con lo que se demuestra la intención de suscribir el contrato.</w:t>
      </w:r>
    </w:p>
    <w:p w:rsidR="00453557" w:rsidRPr="00A60941" w:rsidRDefault="00453557" w:rsidP="00453557">
      <w:pPr>
        <w:pStyle w:val="Prrafodelista"/>
        <w:rPr>
          <w:sz w:val="20"/>
          <w:szCs w:val="20"/>
        </w:rPr>
      </w:pPr>
    </w:p>
    <w:p w:rsidR="00453557" w:rsidRPr="00A60941" w:rsidRDefault="00453557" w:rsidP="00453557">
      <w:pPr>
        <w:numPr>
          <w:ilvl w:val="0"/>
          <w:numId w:val="7"/>
        </w:numPr>
        <w:jc w:val="both"/>
        <w:rPr>
          <w:rFonts w:ascii="Tahoma" w:hAnsi="Tahoma" w:cs="Tahoma"/>
        </w:rPr>
      </w:pPr>
      <w:r w:rsidRPr="00A60941">
        <w:rPr>
          <w:rFonts w:ascii="Tahoma" w:hAnsi="Tahoma" w:cs="Tahoma"/>
        </w:rPr>
        <w:t>Con decreto de fecha 10 de enero de 2011, se remitió el expediente a la Primera Sala del Tribunal.</w:t>
      </w:r>
    </w:p>
    <w:p w:rsidR="00453557" w:rsidRPr="00A60941" w:rsidRDefault="00453557" w:rsidP="00453557">
      <w:pPr>
        <w:pStyle w:val="Prrafodelista"/>
        <w:rPr>
          <w:sz w:val="20"/>
          <w:szCs w:val="20"/>
        </w:rPr>
      </w:pPr>
    </w:p>
    <w:p w:rsidR="00453557" w:rsidRPr="00A60941" w:rsidRDefault="00453557" w:rsidP="00453557">
      <w:pPr>
        <w:jc w:val="both"/>
        <w:rPr>
          <w:rFonts w:ascii="Tahoma" w:hAnsi="Tahoma" w:cs="Tahoma"/>
          <w:b/>
          <w:shadow/>
        </w:rPr>
      </w:pPr>
      <w:r w:rsidRPr="00A60941">
        <w:rPr>
          <w:rFonts w:ascii="Tahoma" w:hAnsi="Tahoma" w:cs="Tahoma"/>
          <w:b/>
          <w:shadow/>
        </w:rPr>
        <w:t>FUNDAMENTACIÓN:</w:t>
      </w:r>
    </w:p>
    <w:p w:rsidR="00453557" w:rsidRPr="00A60941" w:rsidRDefault="00453557" w:rsidP="00453557">
      <w:pPr>
        <w:rPr>
          <w:rFonts w:ascii="Tahoma" w:hAnsi="Tahoma" w:cs="Tahoma"/>
          <w:b/>
          <w:bCs/>
        </w:rPr>
      </w:pPr>
    </w:p>
    <w:p w:rsidR="00453557" w:rsidRPr="00A60941" w:rsidRDefault="00453557" w:rsidP="00453557">
      <w:pPr>
        <w:rPr>
          <w:rFonts w:ascii="Tahoma" w:hAnsi="Tahoma" w:cs="Tahoma"/>
          <w:b/>
          <w:bCs/>
        </w:rPr>
      </w:pPr>
      <w:r w:rsidRPr="00A60941">
        <w:rPr>
          <w:rFonts w:ascii="Tahoma" w:hAnsi="Tahoma" w:cs="Tahoma"/>
        </w:rPr>
        <w:t xml:space="preserve"> </w:t>
      </w:r>
    </w:p>
    <w:p w:rsidR="00453557" w:rsidRPr="00A60941" w:rsidRDefault="00453557" w:rsidP="00453557">
      <w:pPr>
        <w:numPr>
          <w:ilvl w:val="1"/>
          <w:numId w:val="4"/>
        </w:numPr>
        <w:tabs>
          <w:tab w:val="num" w:pos="720"/>
        </w:tabs>
        <w:ind w:left="720"/>
        <w:jc w:val="both"/>
        <w:rPr>
          <w:rFonts w:ascii="Tahoma" w:hAnsi="Tahoma" w:cs="Tahoma"/>
          <w:lang w:val="es-ES_tradnl"/>
        </w:rPr>
      </w:pPr>
      <w:r w:rsidRPr="00A60941">
        <w:rPr>
          <w:rFonts w:ascii="Tahoma" w:hAnsi="Tahoma" w:cs="Tahoma"/>
        </w:rPr>
        <w:t xml:space="preserve"> El presente procedimiento está referido a la imputación formulada contra empresa AGROVETERINARIA CUZCO E.I.R.L., por supuesta responsabilidad al no suscribir injustificadamente el contrato derivado de la Adjudicación Directa Selectiva Nº 036-2010-CEP-MDE/LC, para la adquisición de repuestos para tractor oruga d65x komatsu para gerenciar recursos materiales, humanos y finacieros;</w:t>
      </w:r>
      <w:r w:rsidRPr="00A60941">
        <w:rPr>
          <w:rFonts w:ascii="Tahoma" w:hAnsi="Tahoma" w:cs="Tahoma"/>
          <w:lang w:val="es-ES_tradnl"/>
        </w:rPr>
        <w:t xml:space="preserve"> </w:t>
      </w:r>
      <w:r w:rsidRPr="00A60941">
        <w:rPr>
          <w:rFonts w:ascii="Tahoma" w:hAnsi="Tahoma" w:cs="Tahoma"/>
        </w:rPr>
        <w:t>infracción tipificada en el numeral 51.1 literal a)) del artículo 51 de la Ley de Contrataciones del Estado y en el numeral 1 literal a) del artículo 237 del Reglamento de la Ley, aprobado por Decreto Legislativo Nº 1017</w:t>
      </w:r>
      <w:r w:rsidRPr="00A60941">
        <w:rPr>
          <w:rStyle w:val="Refdenotaalpie"/>
          <w:rFonts w:ascii="Tahoma" w:hAnsi="Tahoma" w:cs="Tahoma"/>
        </w:rPr>
        <w:footnoteReference w:id="2"/>
      </w:r>
      <w:r w:rsidRPr="00A60941">
        <w:rPr>
          <w:rFonts w:ascii="Tahoma" w:hAnsi="Tahoma" w:cs="Tahoma"/>
        </w:rPr>
        <w:t>, y Decreto Supremo N.° 184-2008-EF</w:t>
      </w:r>
      <w:r w:rsidRPr="00A60941">
        <w:rPr>
          <w:rStyle w:val="Refdenotaalpie"/>
          <w:rFonts w:ascii="Tahoma" w:hAnsi="Tahoma" w:cs="Tahoma"/>
        </w:rPr>
        <w:footnoteReference w:id="3"/>
      </w:r>
      <w:r w:rsidRPr="00A60941">
        <w:rPr>
          <w:rFonts w:ascii="Tahoma" w:hAnsi="Tahoma" w:cs="Tahoma"/>
        </w:rPr>
        <w:t>,respectivamente, normas vigentes al suscitarse los hechos.</w:t>
      </w:r>
    </w:p>
    <w:p w:rsidR="00453557" w:rsidRPr="00A60941" w:rsidRDefault="00453557" w:rsidP="00453557">
      <w:pPr>
        <w:tabs>
          <w:tab w:val="num" w:pos="1080"/>
        </w:tabs>
        <w:ind w:left="567"/>
        <w:rPr>
          <w:rFonts w:ascii="Tahoma" w:hAnsi="Tahoma" w:cs="Tahoma"/>
          <w:lang w:val="es-ES_tradnl"/>
        </w:rPr>
      </w:pPr>
    </w:p>
    <w:p w:rsidR="00453557" w:rsidRPr="00A60941" w:rsidRDefault="00453557" w:rsidP="00453557">
      <w:pPr>
        <w:numPr>
          <w:ilvl w:val="1"/>
          <w:numId w:val="4"/>
        </w:numPr>
        <w:tabs>
          <w:tab w:val="num" w:pos="720"/>
        </w:tabs>
        <w:ind w:left="720"/>
        <w:jc w:val="both"/>
        <w:rPr>
          <w:rFonts w:ascii="Tahoma" w:hAnsi="Tahoma" w:cs="Tahoma"/>
          <w:lang w:val="es-ES_tradnl"/>
        </w:rPr>
      </w:pPr>
      <w:r w:rsidRPr="00A60941">
        <w:rPr>
          <w:rFonts w:ascii="Tahoma" w:hAnsi="Tahoma" w:cs="Tahoma"/>
        </w:rPr>
        <w:t xml:space="preserve"> El procedimiento para suscribir el contrato ha sido previsto en el numeral 1) del artículo 148º del Reglamento, el cual dispone que dentro de los dos (02) días hábiles siguientes al consentimiento de la buena pro, la Entidad deberá citar al postor ganador, otorgándole un plazo mínimo de cinco (05) días y máximo de diez (10) días hábiles dentro del cual deberá presentarse a suscribir el contrato con toda la documentación requerida. Asimismo, </w:t>
      </w:r>
      <w:r w:rsidRPr="00A60941">
        <w:rPr>
          <w:rFonts w:ascii="Tahoma" w:hAnsi="Tahoma" w:cs="Tahoma"/>
          <w:lang w:val="es-ES_tradnl"/>
        </w:rPr>
        <w:t>el citado dispositivo reglamentario precisa que, e</w:t>
      </w:r>
      <w:r w:rsidRPr="00A60941">
        <w:rPr>
          <w:rFonts w:ascii="Tahoma" w:hAnsi="Tahoma" w:cs="Tahoma"/>
        </w:rPr>
        <w:t>n caso que el postor no se presente dentro del plazo otorgado, perderá automáticamente la buena pro, sin perjuicio de la imposición administrativamente aplicable.</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lang w:val="es-ES_tradnl"/>
        </w:rPr>
      </w:pPr>
      <w:r w:rsidRPr="00A60941">
        <w:rPr>
          <w:rFonts w:ascii="Tahoma" w:hAnsi="Tahoma" w:cs="Tahoma"/>
          <w:lang w:val="es-ES_tradnl"/>
        </w:rPr>
        <w:t xml:space="preserve"> El cumplimiento de este procedimiento es </w:t>
      </w:r>
      <w:r w:rsidRPr="00A60941">
        <w:rPr>
          <w:rFonts w:ascii="Tahoma" w:hAnsi="Tahoma" w:cs="Tahoma"/>
          <w:b/>
          <w:bCs/>
          <w:i/>
          <w:iCs/>
          <w:lang w:val="es-ES_tradnl"/>
        </w:rPr>
        <w:t>condición necesaria</w:t>
      </w:r>
      <w:r w:rsidRPr="00A60941">
        <w:rPr>
          <w:rFonts w:ascii="Tahoma" w:hAnsi="Tahoma" w:cs="Tahoma"/>
          <w:lang w:val="es-ES_tradnl"/>
        </w:rPr>
        <w:t xml:space="preserve"> para evaluar la existencia de eventuales responsabilidades por la comisión de la infracción tipificada en el literal a) del artículo 51.1 y 237º de la Ley y el Reglamento.</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lang w:val="es-ES_tradnl"/>
        </w:rPr>
      </w:pPr>
      <w:r w:rsidRPr="00A60941">
        <w:rPr>
          <w:rFonts w:ascii="Tahoma" w:hAnsi="Tahoma" w:cs="Tahoma"/>
          <w:lang w:val="es-ES_tradnl"/>
        </w:rPr>
        <w:t xml:space="preserve"> En ese sentido, si bien es cierto, al momento de analizar la procedencia del inicio del presente procedimiento, se evaluó el cumplimiento de los plazos por parte de la Entidad, corresponde realizar nuevamente dicho análisis, pues el postor ha alegado, como medio de defensa, que la Entidad no cumplió con lo dispuesto en el artículo 148º del Reglamento.</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lang w:val="es-ES_tradnl"/>
        </w:rPr>
      </w:pPr>
      <w:r w:rsidRPr="00A60941">
        <w:rPr>
          <w:rFonts w:ascii="Tahoma" w:hAnsi="Tahoma" w:cs="Tahoma"/>
          <w:lang w:val="es-ES_tradnl"/>
        </w:rPr>
        <w:t xml:space="preserve"> En tal sentido, cabe señalar que el plazo  para que el Postor Adjudicatario se apersone a suscribir el contrato a la Entidad, se computa a partir del día siguiente que toma conocimiento del documento que contiene la citación para que se apersone a suscribir el mismo. El artículo 148º del Reglamento es imperativo al considerar dicho plazo, el cual deber ser respetado por las Entidades, más aún, tratándose de un plazo que ha sido otorgado en beneficio de los administrados.</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lang w:val="es-ES_tradnl"/>
        </w:rPr>
      </w:pPr>
      <w:r w:rsidRPr="00A60941">
        <w:rPr>
          <w:rFonts w:ascii="Tahoma" w:hAnsi="Tahoma" w:cs="Tahoma"/>
          <w:lang w:val="es-ES_tradnl"/>
        </w:rPr>
        <w:t>Los plazos mencionados precedentemente han sido previstos por la norma de la materia a favor del postor ganador de la buena pro, constituyendo un límite a la actuación de la Entidad, a fin que ésta no le otorgue plazos arbitrarios que le impidan recabar los documentos necesarios para la respectiva suscripción.</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lang w:val="es-ES_tradnl"/>
        </w:rPr>
      </w:pPr>
      <w:r w:rsidRPr="00A60941">
        <w:rPr>
          <w:rFonts w:ascii="Tahoma" w:hAnsi="Tahoma" w:cs="Tahoma"/>
          <w:lang w:val="es-ES_tradnl"/>
        </w:rPr>
        <w:t xml:space="preserve"> En el presente caso, la adjudicación de la Buena pro tuvo lugar el día 24 de mayo de 2010 y en la misma fecha se publicó en el SEACE. Al tratarse de un acto privado, se entiende notificada el mismo día de su publicación, y al haber participado más de dos empresas, se debe contabilizar los  cinco (05) días necesarios para que la buena pro quede consentida, plazo que vencía al 31 de mayo de 2010.</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lang w:val="es-ES_tradnl"/>
        </w:rPr>
      </w:pPr>
      <w:r w:rsidRPr="00A60941">
        <w:rPr>
          <w:rFonts w:ascii="Tahoma" w:hAnsi="Tahoma" w:cs="Tahoma"/>
          <w:lang w:val="es-ES_tradnl"/>
        </w:rPr>
        <w:t xml:space="preserve"> De la revisión a la documentación remitida por la Entidad, se puede constatar que la Entidad citó, vía fax, al Postor para la suscripción del contrato mediante Carta Nº 0153-2010-DL-MDE/LC  el día 01 de junio de 2010, es decir, dentro de los dos días hábiles posteriores al consentimiento de la buena pro, habiendo cumplido de esa manera con el procedimiento necesario para la suscripción contractual.</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lang w:val="es-ES_tradnl"/>
        </w:rPr>
      </w:pPr>
      <w:r w:rsidRPr="00A60941">
        <w:rPr>
          <w:rFonts w:ascii="Tahoma" w:hAnsi="Tahoma" w:cs="Tahoma"/>
          <w:lang w:val="es-ES_tradnl"/>
        </w:rPr>
        <w:t xml:space="preserve"> </w:t>
      </w:r>
      <w:r w:rsidRPr="00A60941">
        <w:rPr>
          <w:rFonts w:ascii="Tahoma" w:hAnsi="Tahoma" w:cs="Tahoma"/>
          <w:lang w:val="es-PE"/>
        </w:rPr>
        <w:t xml:space="preserve">En ese sentido, se ha podido confirmar que la Entidad cumplió el procedimiento de citación previsto en la norma antes citada, y si bien es cierto, se registró en el SEACE el consentimiento el 01 de junio de 2010, este hecho no puede reemplazar la fecha correcta </w:t>
      </w:r>
      <w:r w:rsidRPr="00A60941">
        <w:rPr>
          <w:rFonts w:ascii="Tahoma" w:hAnsi="Tahoma" w:cs="Tahoma"/>
          <w:lang w:val="es-PE"/>
        </w:rPr>
        <w:lastRenderedPageBreak/>
        <w:t>del consentimiento, la cual se produce indefectiblemente con el transcurrir del tiempo necesario para impugnar la adjudicación de la buena pro, la cual en el presente caso sucedió el 31 de mayo del mismo año, por lo que resulta válida la citación realizada el 01 de junio, tal como señala el artículo 148º del Reglamento.</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lang w:val="es-ES_tradnl"/>
        </w:rPr>
      </w:pPr>
      <w:r w:rsidRPr="00A60941">
        <w:rPr>
          <w:rFonts w:ascii="Tahoma" w:hAnsi="Tahoma" w:cs="Tahoma"/>
          <w:lang w:val="es-PE"/>
        </w:rPr>
        <w:t>Habiéndose verificado que la Entidad citó de manera correcta al Postor, corresponde verificar si la omisión de tal suscripción se debió o no a causa imputable al Postor o si la misma resultó justificada (análisis sustancial).</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lang w:val="es-ES_tradnl"/>
        </w:rPr>
      </w:pPr>
      <w:r w:rsidRPr="00A60941">
        <w:rPr>
          <w:rFonts w:ascii="Tahoma" w:hAnsi="Tahoma" w:cs="Tahoma"/>
        </w:rPr>
        <w:t xml:space="preserve">Al respecto, se observa que la Entidad citó al Postor el </w:t>
      </w:r>
      <w:r w:rsidRPr="00A60941">
        <w:rPr>
          <w:rFonts w:ascii="Tahoma" w:hAnsi="Tahoma" w:cs="Tahoma"/>
          <w:lang w:val="es-ES_tradnl"/>
        </w:rPr>
        <w:t>01 de junio de 2010</w:t>
      </w:r>
      <w:r w:rsidRPr="00A60941">
        <w:rPr>
          <w:rFonts w:ascii="Tahoma" w:hAnsi="Tahoma" w:cs="Tahoma"/>
        </w:rPr>
        <w:t xml:space="preserve"> y, le indicó que  el plazo para la suscripción del contrato era de 05 días, es decir,  vencía el 08 del mismo mes y año. Al segundo día del tiempo otorgado, el Postor solicitó ampliación de plazo para reunir los documentos exigidos para la firma del contrato.</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rPr>
      </w:pPr>
      <w:r w:rsidRPr="00A60941">
        <w:rPr>
          <w:rFonts w:ascii="Tahoma" w:hAnsi="Tahoma" w:cs="Tahoma"/>
          <w:lang w:val="es-PE"/>
        </w:rPr>
        <w:t xml:space="preserve">Sobre el particular,  debemos indicar que una vez que la buena pro ha quedado consentida o administrativamente firme los postores ganadores </w:t>
      </w:r>
      <w:r w:rsidRPr="00A60941">
        <w:rPr>
          <w:rFonts w:ascii="Tahoma" w:hAnsi="Tahoma" w:cs="Tahoma"/>
          <w:b/>
          <w:bCs/>
          <w:u w:val="single"/>
          <w:lang w:val="es-PE"/>
        </w:rPr>
        <w:t>están obligados</w:t>
      </w:r>
      <w:r w:rsidRPr="00A60941">
        <w:rPr>
          <w:rFonts w:ascii="Tahoma" w:hAnsi="Tahoma" w:cs="Tahoma"/>
          <w:lang w:val="es-PE"/>
        </w:rPr>
        <w:t xml:space="preserve"> a suscribir el contrato respectivo. E</w:t>
      </w:r>
      <w:r w:rsidRPr="00A60941">
        <w:rPr>
          <w:rFonts w:ascii="Tahoma" w:hAnsi="Tahoma" w:cs="Tahoma"/>
        </w:rPr>
        <w:t xml:space="preserve">n caso que el postor ganador de la buena pro se niegue a suscribir dicho documento, será pasible de sanción, salvo imposibilidad física o jurídica </w:t>
      </w:r>
      <w:r w:rsidRPr="00A60941">
        <w:rPr>
          <w:rFonts w:ascii="Tahoma" w:hAnsi="Tahoma" w:cs="Tahoma"/>
          <w:b/>
          <w:bCs/>
          <w:u w:val="single"/>
        </w:rPr>
        <w:t>sobrevenida</w:t>
      </w:r>
      <w:r w:rsidRPr="00A60941">
        <w:rPr>
          <w:rFonts w:ascii="Tahoma" w:hAnsi="Tahoma" w:cs="Tahoma"/>
        </w:rPr>
        <w:t xml:space="preserve"> al otorgamiento de la buena pro que </w:t>
      </w:r>
      <w:r w:rsidRPr="00A60941">
        <w:rPr>
          <w:rFonts w:ascii="Tahoma" w:hAnsi="Tahoma" w:cs="Tahoma"/>
          <w:b/>
          <w:bCs/>
          <w:u w:val="single"/>
        </w:rPr>
        <w:t>no le sea atribuible</w:t>
      </w:r>
      <w:r w:rsidRPr="00A60941">
        <w:rPr>
          <w:rFonts w:ascii="Tahoma" w:hAnsi="Tahoma" w:cs="Tahoma"/>
        </w:rPr>
        <w:t>.</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rPr>
      </w:pPr>
      <w:r w:rsidRPr="00A60941">
        <w:rPr>
          <w:rFonts w:ascii="Tahoma" w:hAnsi="Tahoma" w:cs="Tahoma"/>
          <w:lang w:val="es-PE"/>
        </w:rPr>
        <w:t>En función a ello, debe precisarse que sólo se podría eximir de responsabilidades al postor si las circunstancias que le imposibilitan cumplir con su obligación son ajenas a su  voluntad, hechos que deben surgir mientras se encuentre vigente la obligación de suscribir el contrato, y que por dichos eventos irresistibles no se cumpla con la Entidad.</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rPr>
      </w:pPr>
      <w:r w:rsidRPr="00A60941">
        <w:rPr>
          <w:rFonts w:ascii="Tahoma" w:hAnsi="Tahoma" w:cs="Tahoma"/>
          <w:lang w:val="es-ES_tradnl"/>
        </w:rPr>
        <w:t>En ejercicio de su derecho de defensa</w:t>
      </w:r>
      <w:r w:rsidRPr="00A60941">
        <w:rPr>
          <w:rFonts w:ascii="Tahoma" w:hAnsi="Tahoma" w:cs="Tahoma"/>
        </w:rPr>
        <w:t>, el Postor manifestó que siempre tuvo la intención de suscribir el contrato, tan es así que tramitó los documentos requeridos para la firma, tales como la constancia de no estar inhabilitado para contratar con el  Estado,  así como la garantía correspondiente; y por ello, a efectos de cumplir íntegramente con los documentos exigidos, resultaba necesario que se otorgué un plazo adicional, a lo cual no accedió la Entidad.</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rPr>
      </w:pPr>
      <w:r w:rsidRPr="00A60941">
        <w:rPr>
          <w:rFonts w:ascii="Tahoma" w:hAnsi="Tahoma" w:cs="Tahoma"/>
        </w:rPr>
        <w:t>Al respecto, debe indicarse al Postor que la normativa de contrataciones ha previsto un procedimiento para la firma del Contrato, en el cual se le otorga a la Entidad y el Contratista, deberes y derechos previamente establecidos. Como parte de los deberes de la Entidad, se encuentra cumplir a cabalidad con los plazos previstos en el artículo 148º del Reglamento, los cuales no están sujetos a interpretación alguna y los que además, son de carácter perentorio. Así, su incumplimiento acarrea no sólo la responsabilidad en los funcionarios a cargo de la Entidad, sino que además supone una demora en los fines materia del proceso.</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rPr>
      </w:pPr>
      <w:r w:rsidRPr="00A60941">
        <w:rPr>
          <w:rFonts w:ascii="Tahoma" w:hAnsi="Tahoma" w:cs="Tahoma"/>
        </w:rPr>
        <w:t>Por otro, entre los derechos que le asiste a la Entidad, se encuentra el referido a la potestad de determinar el plazo en el cual el Postor deberá apersonarse a la firma del contrato, pues si bien es cierto, existe la posibilidad de establecer un plazo máximo de diez (10) días hábiles, no es menos cierto que, la normativa vigente faculta a las Entidades a otorgar un plazo menor, el cuál no podrá ser menor de cinco (05) días hábiles, lo cual resulta de total discrecionalidad de la Entidad.</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 w:val="num" w:pos="1080"/>
        </w:tabs>
        <w:ind w:left="720"/>
        <w:jc w:val="both"/>
        <w:rPr>
          <w:rFonts w:ascii="Tahoma" w:hAnsi="Tahoma" w:cs="Tahoma"/>
        </w:rPr>
      </w:pPr>
      <w:r w:rsidRPr="00A60941">
        <w:rPr>
          <w:rFonts w:ascii="Tahoma" w:hAnsi="Tahoma" w:cs="Tahoma"/>
        </w:rPr>
        <w:t xml:space="preserve">En virtud a ello, el Postor no puede alegar que la negativa al plazo adicional solicitado, se constituya como un impedimento para la firma del contrato, pues como bien ha señalado en sus descargos, se encuentra en el ámbito discrecional de la Entidad determinarlo, quien no tiene por obligación conceder dicha ampliación, pues de acuerdo a sus </w:t>
      </w:r>
      <w:r w:rsidRPr="00A60941">
        <w:rPr>
          <w:rFonts w:ascii="Tahoma" w:hAnsi="Tahoma" w:cs="Tahoma"/>
        </w:rPr>
        <w:lastRenderedPageBreak/>
        <w:t xml:space="preserve">necesidades, el plazo otorgado fue de cinco días hábiles, plazo en el cual el postor debió presentarse para suscribir el contrato. </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rPr>
      </w:pPr>
      <w:r w:rsidRPr="00A60941">
        <w:rPr>
          <w:rFonts w:ascii="Tahoma" w:hAnsi="Tahoma" w:cs="Tahoma"/>
          <w:lang w:val="es-ES_tradnl"/>
        </w:rPr>
        <w:t xml:space="preserve"> Adicionalmente a ello, resulta pertinente señalar que, en el numeral 3.1 de las Bases del proceso de selección, se indicaba qué documentos serían necesarios para la firma del contrato, es decir, desde el 04 de mayo de 2010, fecha en la cual se convocó el proceso, el postor tenía pleno conocimiento que de resultar adjudicado con la buena pro, cuáles serían los documentos necesarios para suscribir el contrato.</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rPr>
      </w:pPr>
      <w:r w:rsidRPr="00A60941">
        <w:rPr>
          <w:rFonts w:ascii="Tahoma" w:hAnsi="Tahoma" w:cs="Tahoma"/>
        </w:rPr>
        <w:t>En ese sentido, no podría argumentar que recién tomaba conocimiento de los documentos exigidos, y por ende necesitaba un plazo adicional para tales fines, pues podría haber previsto oportuna y diligentemente la obtención de los requisitos previamente señalados en las Bases.</w:t>
      </w:r>
    </w:p>
    <w:p w:rsidR="00453557" w:rsidRPr="00A60941" w:rsidRDefault="00453557" w:rsidP="00453557">
      <w:pPr>
        <w:tabs>
          <w:tab w:val="num" w:pos="1080"/>
        </w:tabs>
        <w:rPr>
          <w:rFonts w:ascii="Tahoma" w:hAnsi="Tahoma" w:cs="Tahoma"/>
        </w:rPr>
      </w:pPr>
    </w:p>
    <w:p w:rsidR="00453557" w:rsidRPr="00A60941" w:rsidRDefault="00453557" w:rsidP="00453557">
      <w:pPr>
        <w:numPr>
          <w:ilvl w:val="1"/>
          <w:numId w:val="4"/>
        </w:numPr>
        <w:tabs>
          <w:tab w:val="num" w:pos="720"/>
        </w:tabs>
        <w:ind w:left="720"/>
        <w:jc w:val="both"/>
        <w:rPr>
          <w:rFonts w:ascii="Tahoma" w:hAnsi="Tahoma" w:cs="Tahoma"/>
        </w:rPr>
      </w:pPr>
      <w:r w:rsidRPr="00A60941">
        <w:rPr>
          <w:rFonts w:ascii="Tahoma" w:hAnsi="Tahoma" w:cs="Tahoma"/>
        </w:rPr>
        <w:t>En virtud a lo expuesto, es opinión de este Colegiado que el Postor no actuó con la diligencia debida, puesto que la citación para la firma del contrato se realizó el martes 01 de junio de 2010, venciendo  el plazo otorgado el martes 08 del mismo mes, y recién el 04 de junio, al tercer día del plazo otorgado, y a dos días de vencer este, se solicitó al Banco Continental la Garantía de Fiel Cumplimiento, lo que denota la poca cautela al momento de  obtener la información requerida por la Entidad.</w:t>
      </w:r>
    </w:p>
    <w:p w:rsidR="00453557" w:rsidRPr="00A60941" w:rsidRDefault="00453557" w:rsidP="00453557">
      <w:pPr>
        <w:tabs>
          <w:tab w:val="num" w:pos="1080"/>
        </w:tabs>
        <w:ind w:left="720"/>
        <w:rPr>
          <w:rFonts w:ascii="Tahoma" w:hAnsi="Tahoma" w:cs="Tahoma"/>
        </w:rPr>
      </w:pPr>
      <w:r w:rsidRPr="00A60941">
        <w:rPr>
          <w:rFonts w:ascii="Tahoma" w:hAnsi="Tahoma" w:cs="Tahoma"/>
        </w:rPr>
        <w:t xml:space="preserve"> </w:t>
      </w:r>
    </w:p>
    <w:p w:rsidR="00453557" w:rsidRPr="00A60941" w:rsidRDefault="00453557" w:rsidP="00453557">
      <w:pPr>
        <w:numPr>
          <w:ilvl w:val="1"/>
          <w:numId w:val="4"/>
        </w:numPr>
        <w:tabs>
          <w:tab w:val="num" w:pos="720"/>
        </w:tabs>
        <w:ind w:left="720"/>
        <w:jc w:val="both"/>
        <w:rPr>
          <w:rFonts w:ascii="Tahoma" w:hAnsi="Tahoma" w:cs="Tahoma"/>
        </w:rPr>
      </w:pPr>
      <w:r w:rsidRPr="00A60941">
        <w:rPr>
          <w:rFonts w:ascii="Tahoma" w:hAnsi="Tahoma" w:cs="Tahoma"/>
        </w:rPr>
        <w:t>Debe precisarse que la citación para la firma del contrato es un acto único e impostergable, y para dicho efecto, el postor debe presentar la documentación completa, pues a este le asiste la responsabilidad de proporcionar la documentación requerida a fin que en el menor plazo previsto se cumpla con perfeccionar el vínculo contractual.</w:t>
      </w:r>
    </w:p>
    <w:p w:rsidR="00453557" w:rsidRPr="00A60941" w:rsidRDefault="00453557" w:rsidP="00453557">
      <w:pPr>
        <w:pStyle w:val="Prrafodelista"/>
        <w:rPr>
          <w:sz w:val="20"/>
          <w:szCs w:val="20"/>
        </w:rPr>
      </w:pPr>
    </w:p>
    <w:p w:rsidR="00453557" w:rsidRPr="00A60941" w:rsidRDefault="00453557" w:rsidP="00453557">
      <w:pPr>
        <w:ind w:left="720"/>
        <w:rPr>
          <w:rFonts w:ascii="Tahoma" w:hAnsi="Tahoma" w:cs="Tahoma"/>
        </w:rPr>
      </w:pPr>
      <w:r w:rsidRPr="00A60941">
        <w:rPr>
          <w:rFonts w:ascii="Tahoma" w:hAnsi="Tahoma" w:cs="Tahoma"/>
        </w:rPr>
        <w:t>Si el Postor no cumple con presentarse dentro del plazo otorgado con la documentación necesaria, perderá automáticamente la buena pro, sin perjuicio de la sanción administrativa aplicable.</w:t>
      </w:r>
    </w:p>
    <w:p w:rsidR="00453557" w:rsidRPr="00A60941" w:rsidRDefault="00453557" w:rsidP="00453557">
      <w:pPr>
        <w:pStyle w:val="Prrafodelista"/>
        <w:rPr>
          <w:sz w:val="20"/>
          <w:szCs w:val="20"/>
        </w:rPr>
      </w:pP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rPr>
      </w:pPr>
      <w:r w:rsidRPr="00A60941">
        <w:rPr>
          <w:rFonts w:ascii="Tahoma" w:hAnsi="Tahoma" w:cs="Tahoma"/>
        </w:rPr>
        <w:t>Por tal motivo, no resultan válidos los argumentos presentados por el Postor que lo eximan de responsabilidad para la firma del contrato, pues no se configuran como hechos de caso fortuito o fuerza mayor, imprevisible e irresistible.</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rPr>
      </w:pPr>
      <w:r w:rsidRPr="00A60941">
        <w:rPr>
          <w:rFonts w:ascii="Tahoma" w:hAnsi="Tahoma" w:cs="Tahoma"/>
          <w:lang w:val="es-PE"/>
        </w:rPr>
        <w:t xml:space="preserve">A consecuencia de lo expuesto, y siendo que El Postor no </w:t>
      </w:r>
      <w:r w:rsidRPr="00A60941">
        <w:rPr>
          <w:rFonts w:ascii="Tahoma" w:hAnsi="Tahoma" w:cs="Tahoma"/>
        </w:rPr>
        <w:t>ha logrado acreditar de manera objetiva y fehaciente que la omisión para suscribir el contrato adjudicado haya sido por causa justificada, toda vez que no obra en autos los medios probatorios que sustente ningún supuesto alguno de imposibilidad física ni jurídica sobrevenida al otorgamiento de la Buena Pro, este Colegiado considera que El Postor incurrió en la infracción imputada prevista en el literal a) del artículo 51.1 y 237º de la Ley y del Reglamento, la cual establece una sanción administrativa de inhabilitación al infractor, en su derecho para participar en procesos de selección y contratar con el Estado, por un período no menor de uno ni mayor a tres años.</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rPr>
      </w:pPr>
      <w:r w:rsidRPr="00A60941">
        <w:rPr>
          <w:rFonts w:ascii="Tahoma" w:hAnsi="Tahoma" w:cs="Tahoma"/>
        </w:rPr>
        <w:t>En cuanto a la graduación de la sanción imponible, este Colegiado tiene en cuenta que el artículo 245º del Reglamento</w:t>
      </w:r>
      <w:r w:rsidRPr="00A60941">
        <w:rPr>
          <w:rStyle w:val="Refdenotaalpie"/>
          <w:rFonts w:ascii="Tahoma" w:hAnsi="Tahoma" w:cs="Tahoma"/>
        </w:rPr>
        <w:footnoteReference w:id="4"/>
      </w:r>
      <w:r w:rsidRPr="00A60941">
        <w:rPr>
          <w:rFonts w:ascii="Tahoma" w:hAnsi="Tahoma" w:cs="Tahoma"/>
        </w:rPr>
        <w:t xml:space="preserve">, establece los criterios de graduación de la sanción, los </w:t>
      </w:r>
      <w:r w:rsidRPr="00A60941">
        <w:rPr>
          <w:rFonts w:ascii="Tahoma" w:hAnsi="Tahoma" w:cs="Tahoma"/>
        </w:rPr>
        <w:lastRenderedPageBreak/>
        <w:t>mismos que deben ser tomados en cuenta al momento de fijar la sanción a imponerse al Postor, entre ellos tenemos la intencionalidad, reiterancia, daño causado, circunstancias y conducta procesal del infractor.</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rPr>
      </w:pPr>
      <w:r w:rsidRPr="00A60941">
        <w:rPr>
          <w:rFonts w:ascii="Tahoma" w:hAnsi="Tahoma" w:cs="Tahoma"/>
        </w:rPr>
        <w:t>En ese sentido, en primer lugar, debe considerarse que el Postor, no cuenta con antecedentes de haber sido restringido en su derecho de contratar con el Estado.</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rPr>
      </w:pPr>
      <w:r w:rsidRPr="00A60941">
        <w:rPr>
          <w:rFonts w:ascii="Tahoma" w:hAnsi="Tahoma" w:cs="Tahoma"/>
        </w:rPr>
        <w:t>En lo que respecta al daño causado a la Entidad, este Tribunal ha tenido en consideración que la no suscripción del Contrato respectivo retrasó el cumplimiento de los objetivos de La Entidad, los mismos que son programados con anticipación.</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rPr>
      </w:pPr>
      <w:r w:rsidRPr="00A60941">
        <w:rPr>
          <w:rFonts w:ascii="Tahoma" w:hAnsi="Tahoma" w:cs="Tahoma"/>
        </w:rPr>
        <w:t>Asimismo, es necesario indicar, respecto a la conducta procesal del Postor, que éste cumplió con presentar los descargos correspondientes dentro del plazo otorgado evitando ocasionar innecesariamente la dilación del proceso.</w:t>
      </w:r>
    </w:p>
    <w:p w:rsidR="00453557" w:rsidRPr="00A60941" w:rsidRDefault="00453557" w:rsidP="00453557">
      <w:pPr>
        <w:pStyle w:val="Prrafodelista"/>
        <w:rPr>
          <w:sz w:val="20"/>
          <w:szCs w:val="20"/>
        </w:rPr>
      </w:pPr>
    </w:p>
    <w:p w:rsidR="00453557" w:rsidRPr="00A60941" w:rsidRDefault="00453557" w:rsidP="00453557">
      <w:pPr>
        <w:numPr>
          <w:ilvl w:val="1"/>
          <w:numId w:val="4"/>
        </w:numPr>
        <w:tabs>
          <w:tab w:val="num" w:pos="720"/>
        </w:tabs>
        <w:ind w:left="720"/>
        <w:jc w:val="both"/>
        <w:rPr>
          <w:rFonts w:ascii="Tahoma" w:hAnsi="Tahoma" w:cs="Tahoma"/>
          <w:b/>
          <w:bCs/>
          <w:u w:val="single"/>
          <w:lang w:val="es-ES_tradnl"/>
        </w:rPr>
      </w:pPr>
      <w:r w:rsidRPr="00A60941">
        <w:rPr>
          <w:rFonts w:ascii="Tahoma" w:hAnsi="Tahoma" w:cs="Tahoma"/>
        </w:rPr>
        <w:t xml:space="preserve">En atención a lo expuesto, y en aplicación de lo prescrito por el </w:t>
      </w:r>
      <w:r w:rsidRPr="00A60941">
        <w:rPr>
          <w:rFonts w:ascii="Tahoma" w:hAnsi="Tahoma" w:cs="Tahoma"/>
          <w:i/>
          <w:iCs/>
        </w:rPr>
        <w:t>Principio de Razonabilidad</w:t>
      </w:r>
      <w:r w:rsidRPr="00A60941">
        <w:rPr>
          <w:rFonts w:ascii="Tahoma" w:hAnsi="Tahoma" w:cs="Tahoma"/>
          <w:vertAlign w:val="superscript"/>
        </w:rPr>
        <w:footnoteReference w:id="5"/>
      </w:r>
      <w:r w:rsidRPr="00A60941">
        <w:rPr>
          <w:rFonts w:ascii="Tahoma" w:hAnsi="Tahoma" w:cs="Tahoma"/>
        </w:rPr>
        <w:t xml:space="preserve"> previsto en el numeral 3 del artículo 230 de la Ley N.º 27444 aconseja que las sanciones no deben ser desproporcionadas y que deben guardar atención con la conducta a reprimir, atendiendo a la necesidad de que los postores no deban verse privados de su derecho de proveer al Estado más allá de lo estrictamente necesario para satisfacer los fines de la sanción; este Colegiado considera que debe imponerse al Postor </w:t>
      </w:r>
      <w:r w:rsidRPr="00A60941">
        <w:rPr>
          <w:rFonts w:ascii="Tahoma" w:hAnsi="Tahoma" w:cs="Tahoma"/>
          <w:lang w:val="es-PE"/>
        </w:rPr>
        <w:t xml:space="preserve">la sanción </w:t>
      </w:r>
      <w:r w:rsidRPr="00A60941">
        <w:rPr>
          <w:rFonts w:ascii="Tahoma" w:hAnsi="Tahoma" w:cs="Tahoma"/>
        </w:rPr>
        <w:t>de inhabilitación temporal</w:t>
      </w:r>
      <w:r w:rsidRPr="00A60941">
        <w:rPr>
          <w:rFonts w:ascii="Tahoma" w:hAnsi="Tahoma" w:cs="Tahoma"/>
          <w:b/>
          <w:bCs/>
        </w:rPr>
        <w:t xml:space="preserve"> </w:t>
      </w:r>
      <w:r w:rsidRPr="00A60941">
        <w:rPr>
          <w:rFonts w:ascii="Tahoma" w:hAnsi="Tahoma" w:cs="Tahoma"/>
        </w:rPr>
        <w:t>en su derecho de participar en procesos de selección y contratar con el Estado por el período de doce (12) meses</w:t>
      </w:r>
      <w:r w:rsidRPr="00A60941">
        <w:rPr>
          <w:rFonts w:ascii="Tahoma" w:hAnsi="Tahoma" w:cs="Tahoma"/>
          <w:b/>
          <w:bCs/>
        </w:rPr>
        <w:t>.</w:t>
      </w:r>
    </w:p>
    <w:p w:rsidR="00453557" w:rsidRPr="00A60941" w:rsidRDefault="00453557" w:rsidP="00453557">
      <w:pPr>
        <w:ind w:left="720"/>
        <w:jc w:val="both"/>
        <w:rPr>
          <w:rFonts w:ascii="Tahoma" w:eastAsia="MS Mincho" w:hAnsi="Tahoma" w:cs="Tahoma"/>
          <w:b/>
          <w:lang w:val="es-ES_tradnl" w:eastAsia="en-US"/>
        </w:rPr>
      </w:pPr>
    </w:p>
    <w:p w:rsidR="00453557" w:rsidRPr="00A60941" w:rsidRDefault="00453557" w:rsidP="00453557">
      <w:pPr>
        <w:tabs>
          <w:tab w:val="left" w:pos="3544"/>
          <w:tab w:val="left" w:pos="7230"/>
          <w:tab w:val="left" w:pos="8505"/>
        </w:tabs>
        <w:autoSpaceDE w:val="0"/>
        <w:autoSpaceDN w:val="0"/>
        <w:adjustRightInd w:val="0"/>
        <w:ind w:firstLine="567"/>
        <w:jc w:val="both"/>
        <w:rPr>
          <w:rFonts w:ascii="Tahoma" w:eastAsia="Calibri" w:hAnsi="Tahoma" w:cs="Tahoma"/>
          <w:color w:val="000000"/>
        </w:rPr>
      </w:pPr>
      <w:r w:rsidRPr="00A60941">
        <w:rPr>
          <w:rFonts w:ascii="Tahoma" w:eastAsia="Calibri" w:hAnsi="Tahoma" w:cs="Tahoma"/>
          <w:color w:val="000000"/>
        </w:rPr>
        <w:t>Por estos fundamentos, de conformidad con el informe del Vocal Ponente Dra. Janette Elke Ramírez Maynetto y la intervención de los Vocales Dra. Ada Basulto Liewald y Dr. Carlos Fonseca Oliveira, y atendiendo a la reconformación de la Primera Sala del Tribunal de Contrataciones y Adquisiciones del Estado, según lo dispuesto en la Resolución № 190-2010-OSCE/PRE, expedida el 29 de marzo de 2010,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453557" w:rsidRPr="00A60941" w:rsidRDefault="00453557" w:rsidP="00453557">
      <w:pPr>
        <w:tabs>
          <w:tab w:val="left" w:pos="3544"/>
          <w:tab w:val="left" w:pos="7230"/>
          <w:tab w:val="left" w:pos="8505"/>
        </w:tabs>
        <w:autoSpaceDE w:val="0"/>
        <w:autoSpaceDN w:val="0"/>
        <w:adjustRightInd w:val="0"/>
        <w:ind w:firstLine="567"/>
        <w:jc w:val="both"/>
        <w:rPr>
          <w:rFonts w:ascii="Tahoma" w:eastAsia="Calibri" w:hAnsi="Tahoma" w:cs="Tahoma"/>
          <w:color w:val="000000"/>
        </w:rPr>
      </w:pPr>
    </w:p>
    <w:p w:rsidR="00453557" w:rsidRPr="00A60941" w:rsidRDefault="00453557" w:rsidP="00453557">
      <w:pPr>
        <w:jc w:val="both"/>
        <w:rPr>
          <w:rFonts w:ascii="Tahoma" w:hAnsi="Tahoma" w:cs="Tahoma"/>
          <w:b/>
          <w:shadow/>
        </w:rPr>
      </w:pPr>
      <w:r w:rsidRPr="00A60941">
        <w:rPr>
          <w:rFonts w:ascii="Tahoma" w:hAnsi="Tahoma" w:cs="Tahoma"/>
          <w:b/>
          <w:shadow/>
        </w:rPr>
        <w:t>LA SALA RESUELVE:</w:t>
      </w:r>
    </w:p>
    <w:p w:rsidR="00453557" w:rsidRPr="00A60941" w:rsidRDefault="00453557" w:rsidP="00453557">
      <w:pPr>
        <w:rPr>
          <w:rFonts w:ascii="Tahoma" w:hAnsi="Tahoma" w:cs="Tahoma"/>
          <w:b/>
          <w:bCs/>
          <w:shadow/>
        </w:rPr>
      </w:pPr>
    </w:p>
    <w:p w:rsidR="00453557" w:rsidRPr="00A60941" w:rsidRDefault="00453557" w:rsidP="00453557">
      <w:pPr>
        <w:numPr>
          <w:ilvl w:val="0"/>
          <w:numId w:val="6"/>
        </w:numPr>
        <w:tabs>
          <w:tab w:val="clear" w:pos="720"/>
          <w:tab w:val="num" w:pos="360"/>
        </w:tabs>
        <w:ind w:left="360"/>
        <w:jc w:val="both"/>
        <w:rPr>
          <w:rFonts w:ascii="Tahoma" w:hAnsi="Tahoma" w:cs="Tahoma"/>
        </w:rPr>
      </w:pPr>
      <w:r w:rsidRPr="00A60941">
        <w:rPr>
          <w:rFonts w:ascii="Tahoma" w:hAnsi="Tahoma" w:cs="Tahoma"/>
        </w:rPr>
        <w:t xml:space="preserve">Sancionar a la empresa AGROVETERINARIA CUZCO E.I.R.L. con </w:t>
      </w:r>
      <w:r w:rsidRPr="00A60941">
        <w:rPr>
          <w:rFonts w:ascii="Tahoma" w:hAnsi="Tahoma" w:cs="Tahoma"/>
          <w:b/>
          <w:bCs/>
        </w:rPr>
        <w:t>doce</w:t>
      </w:r>
      <w:r w:rsidRPr="00A60941">
        <w:rPr>
          <w:rFonts w:ascii="Tahoma" w:hAnsi="Tahoma" w:cs="Tahoma"/>
        </w:rPr>
        <w:t xml:space="preserve"> </w:t>
      </w:r>
      <w:r w:rsidRPr="00A60941">
        <w:rPr>
          <w:rFonts w:ascii="Tahoma" w:hAnsi="Tahoma" w:cs="Tahoma"/>
          <w:b/>
          <w:bCs/>
        </w:rPr>
        <w:t xml:space="preserve">(12) meses de inhabilitación temporal </w:t>
      </w:r>
      <w:r w:rsidRPr="00A60941">
        <w:rPr>
          <w:rFonts w:ascii="Tahoma" w:hAnsi="Tahoma" w:cs="Tahoma"/>
        </w:rPr>
        <w:t>en su derecho de participar en procesos de selección y contratar con el Estado, por incurrir en la infracción tipificada en el numeral 51.1 literal a) del artículo 51 de la Ley de Contrataciones del Estado y en el numeral 1 literal a) del artículo 237 del Reglamento de la Ley; sanción que tendrá vigencia a partir del sexto día hábil siguiente de notificada la presente resolución.</w:t>
      </w:r>
    </w:p>
    <w:p w:rsidR="00453557" w:rsidRPr="00A60941" w:rsidRDefault="00453557" w:rsidP="00453557">
      <w:pPr>
        <w:ind w:left="360"/>
        <w:rPr>
          <w:rFonts w:ascii="Tahoma" w:hAnsi="Tahoma" w:cs="Tahoma"/>
        </w:rPr>
      </w:pPr>
    </w:p>
    <w:p w:rsidR="00453557" w:rsidRPr="00A60941" w:rsidRDefault="00453557" w:rsidP="00453557">
      <w:pPr>
        <w:numPr>
          <w:ilvl w:val="0"/>
          <w:numId w:val="6"/>
        </w:numPr>
        <w:tabs>
          <w:tab w:val="clear" w:pos="720"/>
          <w:tab w:val="num" w:pos="360"/>
        </w:tabs>
        <w:ind w:left="360"/>
        <w:jc w:val="both"/>
        <w:rPr>
          <w:rFonts w:ascii="Tahoma" w:hAnsi="Tahoma" w:cs="Tahoma"/>
        </w:rPr>
      </w:pPr>
      <w:r w:rsidRPr="00A60941">
        <w:rPr>
          <w:rFonts w:ascii="Tahoma" w:hAnsi="Tahoma" w:cs="Tahoma"/>
        </w:rPr>
        <w:t>Poner la presente resolución en conocimiento de la Sub Dirección de Registros del OSCE para las anotaciones de ley.</w:t>
      </w:r>
    </w:p>
    <w:p w:rsidR="00453557" w:rsidRPr="00A60941" w:rsidRDefault="00453557" w:rsidP="00453557">
      <w:pPr>
        <w:jc w:val="both"/>
        <w:rPr>
          <w:rFonts w:ascii="Tahoma" w:hAnsi="Tahoma" w:cs="Tahoma"/>
          <w:b/>
          <w:shadow/>
        </w:rPr>
      </w:pPr>
    </w:p>
    <w:p w:rsidR="00453557" w:rsidRPr="00A60941" w:rsidRDefault="00453557" w:rsidP="00453557">
      <w:pPr>
        <w:pStyle w:val="Textoindependiente21"/>
        <w:rPr>
          <w:rFonts w:cs="Tahoma"/>
          <w:sz w:val="20"/>
        </w:rPr>
      </w:pPr>
      <w:r w:rsidRPr="00A60941">
        <w:rPr>
          <w:rFonts w:cs="Tahoma"/>
          <w:sz w:val="20"/>
        </w:rPr>
        <w:t>Regístrese, comuníquese y publíquese.</w:t>
      </w:r>
    </w:p>
    <w:p w:rsidR="00453557" w:rsidRPr="00A60941" w:rsidRDefault="00453557" w:rsidP="00453557">
      <w:pPr>
        <w:jc w:val="center"/>
        <w:rPr>
          <w:rFonts w:ascii="Tahoma" w:hAnsi="Tahoma" w:cs="Tahoma"/>
          <w:b/>
          <w:shadow/>
          <w:lang w:val="pt-BR"/>
        </w:rPr>
      </w:pPr>
    </w:p>
    <w:p w:rsidR="00453557" w:rsidRPr="00A60941" w:rsidRDefault="00453557" w:rsidP="00453557">
      <w:pPr>
        <w:jc w:val="center"/>
        <w:rPr>
          <w:rFonts w:ascii="Tahoma" w:hAnsi="Tahoma" w:cs="Tahoma"/>
          <w:b/>
          <w:shadow/>
          <w:lang w:val="pt-BR"/>
        </w:rPr>
      </w:pPr>
    </w:p>
    <w:p w:rsidR="00453557" w:rsidRPr="00A60941" w:rsidRDefault="00453557" w:rsidP="00453557">
      <w:pPr>
        <w:jc w:val="center"/>
        <w:rPr>
          <w:rFonts w:ascii="Tahoma" w:hAnsi="Tahoma" w:cs="Tahoma"/>
          <w:b/>
          <w:shadow/>
          <w:lang w:val="pt-BR"/>
        </w:rPr>
      </w:pPr>
    </w:p>
    <w:p w:rsidR="00453557" w:rsidRPr="00A60941" w:rsidRDefault="00453557" w:rsidP="00453557">
      <w:pPr>
        <w:jc w:val="center"/>
        <w:rPr>
          <w:rFonts w:ascii="Tahoma" w:hAnsi="Tahoma" w:cs="Tahoma"/>
          <w:b/>
          <w:shadow/>
          <w:lang w:val="pt-BR"/>
        </w:rPr>
      </w:pPr>
    </w:p>
    <w:p w:rsidR="00453557" w:rsidRPr="00A60941" w:rsidRDefault="00453557" w:rsidP="00453557">
      <w:pPr>
        <w:jc w:val="center"/>
        <w:rPr>
          <w:rFonts w:ascii="Tahoma" w:hAnsi="Tahoma" w:cs="Tahoma"/>
          <w:b/>
          <w:shadow/>
          <w:lang w:val="pt-BR"/>
        </w:rPr>
      </w:pPr>
      <w:r w:rsidRPr="00A60941">
        <w:rPr>
          <w:rFonts w:ascii="Tahoma" w:hAnsi="Tahoma" w:cs="Tahoma"/>
          <w:b/>
          <w:shadow/>
          <w:lang w:val="pt-BR"/>
        </w:rPr>
        <w:t>PRESIDENTA</w:t>
      </w:r>
    </w:p>
    <w:p w:rsidR="00453557" w:rsidRPr="00A60941" w:rsidRDefault="00453557" w:rsidP="00453557">
      <w:pPr>
        <w:jc w:val="both"/>
        <w:rPr>
          <w:rFonts w:ascii="Tahoma" w:hAnsi="Tahoma" w:cs="Tahoma"/>
          <w:b/>
          <w:shadow/>
          <w:lang w:val="pt-BR"/>
        </w:rPr>
      </w:pPr>
    </w:p>
    <w:p w:rsidR="00453557" w:rsidRPr="00A60941" w:rsidRDefault="00453557" w:rsidP="00453557">
      <w:pPr>
        <w:jc w:val="both"/>
        <w:rPr>
          <w:rFonts w:ascii="Tahoma" w:hAnsi="Tahoma" w:cs="Tahoma"/>
          <w:b/>
          <w:shadow/>
          <w:lang w:val="pt-BR"/>
        </w:rPr>
      </w:pPr>
    </w:p>
    <w:p w:rsidR="00453557" w:rsidRDefault="00453557" w:rsidP="00453557">
      <w:pPr>
        <w:jc w:val="both"/>
        <w:rPr>
          <w:rFonts w:ascii="Tahoma" w:hAnsi="Tahoma" w:cs="Tahoma"/>
          <w:b/>
          <w:shadow/>
          <w:lang w:val="pt-BR"/>
        </w:rPr>
      </w:pPr>
    </w:p>
    <w:p w:rsidR="00E1075C" w:rsidRPr="00A60941" w:rsidRDefault="00E1075C" w:rsidP="00453557">
      <w:pPr>
        <w:jc w:val="both"/>
        <w:rPr>
          <w:rFonts w:ascii="Tahoma" w:hAnsi="Tahoma" w:cs="Tahoma"/>
          <w:b/>
          <w:shadow/>
          <w:lang w:val="pt-BR"/>
        </w:rPr>
      </w:pPr>
    </w:p>
    <w:p w:rsidR="00453557" w:rsidRPr="00A60941" w:rsidRDefault="00453557" w:rsidP="00453557">
      <w:pPr>
        <w:jc w:val="both"/>
        <w:rPr>
          <w:rFonts w:ascii="Tahoma" w:hAnsi="Tahoma" w:cs="Tahoma"/>
          <w:b/>
          <w:shadow/>
          <w:lang w:val="pt-BR"/>
        </w:rPr>
      </w:pPr>
    </w:p>
    <w:p w:rsidR="00453557" w:rsidRPr="00A60941" w:rsidRDefault="00453557" w:rsidP="00453557">
      <w:pPr>
        <w:jc w:val="both"/>
        <w:rPr>
          <w:rFonts w:ascii="Tahoma" w:hAnsi="Tahoma" w:cs="Tahoma"/>
          <w:b/>
          <w:shadow/>
          <w:lang w:val="pt-BR"/>
        </w:rPr>
      </w:pPr>
      <w:r w:rsidRPr="00A60941">
        <w:rPr>
          <w:rFonts w:ascii="Tahoma" w:hAnsi="Tahoma" w:cs="Tahoma"/>
          <w:b/>
          <w:shadow/>
          <w:lang w:val="pt-BR"/>
        </w:rPr>
        <w:t xml:space="preserve">                      VOCAL           </w:t>
      </w:r>
      <w:r w:rsidRPr="00A60941">
        <w:rPr>
          <w:rFonts w:ascii="Tahoma" w:hAnsi="Tahoma" w:cs="Tahoma"/>
          <w:b/>
          <w:shadow/>
          <w:lang w:val="pt-BR"/>
        </w:rPr>
        <w:tab/>
      </w:r>
      <w:r w:rsidRPr="00A60941">
        <w:rPr>
          <w:rFonts w:ascii="Tahoma" w:hAnsi="Tahoma" w:cs="Tahoma"/>
          <w:b/>
          <w:shadow/>
          <w:lang w:val="pt-BR"/>
        </w:rPr>
        <w:tab/>
        <w:t xml:space="preserve">                                                              VOCAL</w:t>
      </w:r>
    </w:p>
    <w:p w:rsidR="00453557" w:rsidRDefault="00453557" w:rsidP="00453557">
      <w:pPr>
        <w:ind w:firstLine="708"/>
        <w:jc w:val="both"/>
        <w:rPr>
          <w:rFonts w:ascii="Tahoma" w:hAnsi="Tahoma" w:cs="Tahoma"/>
          <w:b/>
          <w:shadow/>
          <w:lang w:val="pt-BR"/>
        </w:rPr>
      </w:pPr>
    </w:p>
    <w:p w:rsidR="00E1075C" w:rsidRDefault="00E1075C" w:rsidP="00453557">
      <w:pPr>
        <w:ind w:firstLine="708"/>
        <w:jc w:val="both"/>
        <w:rPr>
          <w:rFonts w:ascii="Tahoma" w:hAnsi="Tahoma" w:cs="Tahoma"/>
          <w:b/>
          <w:shadow/>
          <w:lang w:val="pt-BR"/>
        </w:rPr>
      </w:pPr>
    </w:p>
    <w:p w:rsidR="00E1075C" w:rsidRDefault="00E1075C" w:rsidP="00453557">
      <w:pPr>
        <w:ind w:firstLine="708"/>
        <w:jc w:val="both"/>
        <w:rPr>
          <w:rFonts w:ascii="Tahoma" w:hAnsi="Tahoma" w:cs="Tahoma"/>
          <w:b/>
          <w:shadow/>
          <w:lang w:val="pt-BR"/>
        </w:rPr>
      </w:pPr>
    </w:p>
    <w:p w:rsidR="00E1075C" w:rsidRPr="00A60941" w:rsidRDefault="00E1075C" w:rsidP="00453557">
      <w:pPr>
        <w:ind w:firstLine="708"/>
        <w:jc w:val="both"/>
        <w:rPr>
          <w:rFonts w:ascii="Tahoma" w:hAnsi="Tahoma" w:cs="Tahoma"/>
          <w:b/>
          <w:shadow/>
          <w:lang w:val="pt-BR"/>
        </w:rPr>
      </w:pPr>
    </w:p>
    <w:p w:rsidR="00453557" w:rsidRPr="00A60941" w:rsidRDefault="00453557" w:rsidP="00453557">
      <w:pPr>
        <w:ind w:firstLine="708"/>
        <w:jc w:val="both"/>
        <w:rPr>
          <w:rFonts w:ascii="Tahoma" w:hAnsi="Tahoma" w:cs="Tahoma"/>
          <w:b/>
          <w:shadow/>
          <w:lang w:val="pt-BR"/>
        </w:rPr>
      </w:pPr>
    </w:p>
    <w:p w:rsidR="00453557" w:rsidRPr="00E1075C" w:rsidRDefault="00453557" w:rsidP="00453557">
      <w:pPr>
        <w:jc w:val="both"/>
        <w:rPr>
          <w:rFonts w:ascii="Tahoma" w:hAnsi="Tahoma" w:cs="Tahoma"/>
          <w:sz w:val="18"/>
          <w:szCs w:val="18"/>
          <w:lang w:val="pt-BR"/>
        </w:rPr>
      </w:pPr>
      <w:r w:rsidRPr="00E1075C">
        <w:rPr>
          <w:rFonts w:ascii="Tahoma" w:hAnsi="Tahoma" w:cs="Tahoma"/>
          <w:sz w:val="18"/>
          <w:szCs w:val="18"/>
          <w:lang w:val="pt-BR"/>
        </w:rPr>
        <w:t>ss.</w:t>
      </w:r>
    </w:p>
    <w:p w:rsidR="00453557" w:rsidRPr="00E1075C" w:rsidRDefault="00453557" w:rsidP="00453557">
      <w:pPr>
        <w:pStyle w:val="Textoindependiente21"/>
        <w:rPr>
          <w:rFonts w:cs="Tahoma"/>
          <w:sz w:val="18"/>
          <w:szCs w:val="18"/>
          <w:lang w:val="en-US"/>
        </w:rPr>
      </w:pPr>
      <w:r w:rsidRPr="00E1075C">
        <w:rPr>
          <w:rFonts w:cs="Tahoma"/>
          <w:sz w:val="18"/>
          <w:szCs w:val="18"/>
          <w:lang w:val="en-US"/>
        </w:rPr>
        <w:t>Basulto Liewald.</w:t>
      </w:r>
    </w:p>
    <w:p w:rsidR="00453557" w:rsidRPr="00E1075C" w:rsidRDefault="00453557" w:rsidP="00453557">
      <w:pPr>
        <w:pStyle w:val="Textoindependiente21"/>
        <w:rPr>
          <w:rFonts w:cs="Tahoma"/>
          <w:sz w:val="18"/>
          <w:szCs w:val="18"/>
          <w:lang w:val="en-US"/>
        </w:rPr>
      </w:pPr>
      <w:r w:rsidRPr="00E1075C">
        <w:rPr>
          <w:rFonts w:cs="Tahoma"/>
          <w:sz w:val="18"/>
          <w:szCs w:val="18"/>
          <w:lang w:val="en-US"/>
        </w:rPr>
        <w:t>Ramírez Maynetto.</w:t>
      </w:r>
    </w:p>
    <w:p w:rsidR="00453557" w:rsidRPr="00E1075C" w:rsidRDefault="00453557" w:rsidP="00453557">
      <w:pPr>
        <w:pStyle w:val="Textoindependiente21"/>
        <w:rPr>
          <w:rFonts w:cs="Tahoma"/>
          <w:sz w:val="18"/>
          <w:szCs w:val="18"/>
        </w:rPr>
      </w:pPr>
      <w:r w:rsidRPr="00E1075C">
        <w:rPr>
          <w:rFonts w:cs="Tahoma"/>
          <w:sz w:val="18"/>
          <w:szCs w:val="18"/>
        </w:rPr>
        <w:t>Fonseca Oliveira.</w:t>
      </w:r>
    </w:p>
    <w:p w:rsidR="00453557" w:rsidRPr="00E1075C" w:rsidRDefault="00453557" w:rsidP="00453557">
      <w:pPr>
        <w:rPr>
          <w:rFonts w:ascii="Tahoma" w:hAnsi="Tahoma" w:cs="Tahoma"/>
          <w:sz w:val="18"/>
          <w:szCs w:val="18"/>
        </w:rPr>
      </w:pPr>
    </w:p>
    <w:p w:rsidR="00453557" w:rsidRPr="00A60941" w:rsidRDefault="00453557" w:rsidP="00453557">
      <w:pPr>
        <w:rPr>
          <w:rFonts w:ascii="Tahoma" w:hAnsi="Tahoma" w:cs="Tahoma"/>
        </w:rPr>
      </w:pPr>
    </w:p>
    <w:p w:rsidR="00260F0B" w:rsidRPr="00A60941" w:rsidRDefault="008D5C6D">
      <w:pPr>
        <w:rPr>
          <w:rFonts w:ascii="Tahoma" w:hAnsi="Tahoma" w:cs="Tahoma"/>
        </w:rPr>
      </w:pPr>
    </w:p>
    <w:sectPr w:rsidR="00260F0B" w:rsidRPr="00A60941" w:rsidSect="004A493F">
      <w:headerReference w:type="default" r:id="rId7"/>
      <w:footerReference w:type="even" r:id="rId8"/>
      <w:footerReference w:type="default" r:id="rId9"/>
      <w:pgSz w:w="11907" w:h="16840" w:code="9"/>
      <w:pgMar w:top="2694" w:right="1559" w:bottom="1418" w:left="1701"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C6D" w:rsidRDefault="008D5C6D" w:rsidP="00453557">
      <w:r>
        <w:separator/>
      </w:r>
    </w:p>
  </w:endnote>
  <w:endnote w:type="continuationSeparator" w:id="1">
    <w:p w:rsidR="008D5C6D" w:rsidRDefault="008D5C6D" w:rsidP="004535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D67" w:rsidRDefault="00211D1B" w:rsidP="000D0D67">
    <w:pPr>
      <w:pStyle w:val="Piedepgina"/>
      <w:framePr w:wrap="around" w:vAnchor="text" w:hAnchor="margin" w:xAlign="center" w:y="1"/>
      <w:rPr>
        <w:rStyle w:val="Nmerodepgina"/>
      </w:rPr>
    </w:pPr>
    <w:r>
      <w:rPr>
        <w:rStyle w:val="Nmerodepgina"/>
      </w:rPr>
      <w:fldChar w:fldCharType="begin"/>
    </w:r>
    <w:r w:rsidR="00E1075C">
      <w:rPr>
        <w:rStyle w:val="Nmerodepgina"/>
      </w:rPr>
      <w:instrText xml:space="preserve">PAGE  </w:instrText>
    </w:r>
    <w:r>
      <w:rPr>
        <w:rStyle w:val="Nmerodepgina"/>
      </w:rPr>
      <w:fldChar w:fldCharType="end"/>
    </w:r>
  </w:p>
  <w:p w:rsidR="000D0D67" w:rsidRDefault="008D5C6D">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D67" w:rsidRPr="004A4E6B" w:rsidRDefault="00E1075C">
    <w:pPr>
      <w:pStyle w:val="Piedepgina"/>
      <w:framePr w:wrap="around" w:vAnchor="text" w:hAnchor="margin" w:xAlign="center" w:y="1"/>
      <w:rPr>
        <w:rStyle w:val="Nmerodepgina"/>
        <w:i/>
        <w:sz w:val="20"/>
      </w:rPr>
    </w:pPr>
    <w:r w:rsidRPr="004A4E6B">
      <w:rPr>
        <w:rStyle w:val="Nmerodepgina"/>
        <w:i/>
        <w:sz w:val="20"/>
      </w:rPr>
      <w:t xml:space="preserve">Página </w:t>
    </w:r>
    <w:r w:rsidR="00211D1B" w:rsidRPr="004A4E6B">
      <w:rPr>
        <w:rStyle w:val="Nmerodepgina"/>
        <w:i/>
        <w:sz w:val="20"/>
      </w:rPr>
      <w:fldChar w:fldCharType="begin"/>
    </w:r>
    <w:r w:rsidRPr="004A4E6B">
      <w:rPr>
        <w:rStyle w:val="Nmerodepgina"/>
        <w:i/>
        <w:sz w:val="20"/>
      </w:rPr>
      <w:instrText xml:space="preserve"> PAGE </w:instrText>
    </w:r>
    <w:r w:rsidR="00211D1B" w:rsidRPr="004A4E6B">
      <w:rPr>
        <w:rStyle w:val="Nmerodepgina"/>
        <w:i/>
        <w:sz w:val="20"/>
      </w:rPr>
      <w:fldChar w:fldCharType="separate"/>
    </w:r>
    <w:r w:rsidR="00DD50C3">
      <w:rPr>
        <w:rStyle w:val="Nmerodepgina"/>
        <w:i/>
        <w:noProof/>
        <w:sz w:val="20"/>
      </w:rPr>
      <w:t>1</w:t>
    </w:r>
    <w:r w:rsidR="00211D1B" w:rsidRPr="004A4E6B">
      <w:rPr>
        <w:rStyle w:val="Nmerodepgina"/>
        <w:i/>
        <w:sz w:val="20"/>
      </w:rPr>
      <w:fldChar w:fldCharType="end"/>
    </w:r>
    <w:r w:rsidRPr="004A4E6B">
      <w:rPr>
        <w:rStyle w:val="Nmerodepgina"/>
        <w:i/>
        <w:sz w:val="20"/>
      </w:rPr>
      <w:t xml:space="preserve"> de </w:t>
    </w:r>
    <w:r w:rsidR="00211D1B" w:rsidRPr="004A4E6B">
      <w:rPr>
        <w:rStyle w:val="Nmerodepgina"/>
        <w:i/>
        <w:sz w:val="20"/>
      </w:rPr>
      <w:fldChar w:fldCharType="begin"/>
    </w:r>
    <w:r w:rsidRPr="004A4E6B">
      <w:rPr>
        <w:rStyle w:val="Nmerodepgina"/>
        <w:i/>
        <w:sz w:val="20"/>
      </w:rPr>
      <w:instrText xml:space="preserve"> NUMPAGES </w:instrText>
    </w:r>
    <w:r w:rsidR="00211D1B" w:rsidRPr="004A4E6B">
      <w:rPr>
        <w:rStyle w:val="Nmerodepgina"/>
        <w:i/>
        <w:sz w:val="20"/>
      </w:rPr>
      <w:fldChar w:fldCharType="separate"/>
    </w:r>
    <w:r w:rsidR="00DD50C3">
      <w:rPr>
        <w:rStyle w:val="Nmerodepgina"/>
        <w:i/>
        <w:noProof/>
        <w:sz w:val="20"/>
      </w:rPr>
      <w:t>7</w:t>
    </w:r>
    <w:r w:rsidR="00211D1B" w:rsidRPr="004A4E6B">
      <w:rPr>
        <w:rStyle w:val="Nmerodepgina"/>
        <w:i/>
        <w:sz w:val="20"/>
      </w:rPr>
      <w:fldChar w:fldCharType="end"/>
    </w:r>
  </w:p>
  <w:p w:rsidR="000D0D67" w:rsidRDefault="008D5C6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C6D" w:rsidRDefault="008D5C6D" w:rsidP="00453557">
      <w:r>
        <w:separator/>
      </w:r>
    </w:p>
  </w:footnote>
  <w:footnote w:type="continuationSeparator" w:id="1">
    <w:p w:rsidR="008D5C6D" w:rsidRDefault="008D5C6D" w:rsidP="00453557">
      <w:r>
        <w:continuationSeparator/>
      </w:r>
    </w:p>
  </w:footnote>
  <w:footnote w:id="2">
    <w:p w:rsidR="00453557" w:rsidRPr="001965EF" w:rsidRDefault="00453557" w:rsidP="00453557">
      <w:pPr>
        <w:pStyle w:val="Textonotapie"/>
        <w:rPr>
          <w:b/>
          <w:bCs/>
          <w:sz w:val="16"/>
          <w:szCs w:val="16"/>
        </w:rPr>
      </w:pPr>
      <w:r w:rsidRPr="00F0315B">
        <w:rPr>
          <w:rStyle w:val="Refdenotaalpie"/>
          <w:b/>
          <w:bCs/>
          <w:i/>
          <w:iCs/>
          <w:sz w:val="18"/>
          <w:szCs w:val="18"/>
        </w:rPr>
        <w:footnoteRef/>
      </w:r>
      <w:r w:rsidRPr="00F0315B">
        <w:rPr>
          <w:b/>
          <w:bCs/>
          <w:i/>
          <w:iCs/>
          <w:sz w:val="18"/>
          <w:szCs w:val="18"/>
        </w:rPr>
        <w:t xml:space="preserve"> </w:t>
      </w:r>
      <w:r w:rsidRPr="001965EF">
        <w:rPr>
          <w:b/>
          <w:bCs/>
          <w:sz w:val="16"/>
          <w:szCs w:val="16"/>
        </w:rPr>
        <w:t>Artículo 51.- Infracciones y Sanciones Administrativas</w:t>
      </w:r>
    </w:p>
    <w:p w:rsidR="00453557" w:rsidRPr="001965EF" w:rsidRDefault="00453557" w:rsidP="00453557">
      <w:pPr>
        <w:pStyle w:val="Textonotapie"/>
        <w:rPr>
          <w:sz w:val="16"/>
          <w:szCs w:val="16"/>
        </w:rPr>
      </w:pPr>
      <w:r w:rsidRPr="001965EF">
        <w:rPr>
          <w:sz w:val="16"/>
          <w:szCs w:val="16"/>
        </w:rPr>
        <w:t>51.1 Infracciones</w:t>
      </w:r>
    </w:p>
    <w:p w:rsidR="00453557" w:rsidRPr="001965EF" w:rsidRDefault="00453557" w:rsidP="00453557">
      <w:pPr>
        <w:pStyle w:val="Textonotapie"/>
        <w:rPr>
          <w:sz w:val="16"/>
          <w:szCs w:val="16"/>
        </w:rPr>
      </w:pPr>
      <w:r w:rsidRPr="001965EF">
        <w:rPr>
          <w:sz w:val="16"/>
          <w:szCs w:val="16"/>
        </w:rPr>
        <w:t>Se impondrá sanción administrativa a los proveedores, participantes, postores y/o contratista que:</w:t>
      </w:r>
    </w:p>
    <w:p w:rsidR="00453557" w:rsidRPr="001965EF" w:rsidRDefault="00453557" w:rsidP="00453557">
      <w:pPr>
        <w:pStyle w:val="Textonotapie"/>
        <w:rPr>
          <w:sz w:val="16"/>
          <w:szCs w:val="16"/>
        </w:rPr>
      </w:pPr>
      <w:r w:rsidRPr="001965EF">
        <w:rPr>
          <w:sz w:val="16"/>
          <w:szCs w:val="16"/>
        </w:rPr>
        <w:t>a)No mantengan su oferta hasta el consentimiento de la buena pro o de resultar ganadores hasta la suscripción de contrato, no suscriban injustificadamente el contrato o no reciban la orden de compra o de servicio emitida a su favor.</w:t>
      </w:r>
    </w:p>
    <w:p w:rsidR="00453557" w:rsidRDefault="00453557" w:rsidP="00453557">
      <w:pPr>
        <w:pStyle w:val="Textonotapie"/>
      </w:pPr>
      <w:r w:rsidRPr="001965EF">
        <w:rPr>
          <w:sz w:val="16"/>
          <w:szCs w:val="16"/>
        </w:rPr>
        <w:t>e) Participen en procesos de selección o suscriban un contrato sin contar con inscripción vigente en el Registro Nacional de Proveedores (RNP).</w:t>
      </w:r>
    </w:p>
  </w:footnote>
  <w:footnote w:id="3">
    <w:p w:rsidR="00453557" w:rsidRPr="001965EF" w:rsidRDefault="00453557" w:rsidP="00453557">
      <w:pPr>
        <w:pStyle w:val="Textonotapie"/>
        <w:rPr>
          <w:b/>
          <w:bCs/>
          <w:sz w:val="16"/>
          <w:szCs w:val="16"/>
        </w:rPr>
      </w:pPr>
      <w:r w:rsidRPr="001965EF">
        <w:rPr>
          <w:rStyle w:val="Refdenotaalpie"/>
          <w:b/>
          <w:bCs/>
          <w:sz w:val="16"/>
          <w:szCs w:val="16"/>
        </w:rPr>
        <w:footnoteRef/>
      </w:r>
      <w:r w:rsidRPr="001965EF">
        <w:rPr>
          <w:b/>
          <w:bCs/>
          <w:sz w:val="16"/>
          <w:szCs w:val="16"/>
        </w:rPr>
        <w:t xml:space="preserve"> Artículo 237.- Infracciones y Sanciones Administrativas</w:t>
      </w:r>
    </w:p>
    <w:p w:rsidR="00453557" w:rsidRPr="001965EF" w:rsidRDefault="00453557" w:rsidP="00453557">
      <w:pPr>
        <w:pStyle w:val="Textonotapie"/>
        <w:rPr>
          <w:sz w:val="16"/>
          <w:szCs w:val="16"/>
        </w:rPr>
      </w:pPr>
      <w:r w:rsidRPr="001965EF">
        <w:rPr>
          <w:sz w:val="16"/>
          <w:szCs w:val="16"/>
        </w:rPr>
        <w:t>1.-Infracciones</w:t>
      </w:r>
    </w:p>
    <w:p w:rsidR="00453557" w:rsidRPr="001965EF" w:rsidRDefault="00453557" w:rsidP="00453557">
      <w:pPr>
        <w:pStyle w:val="Textonotapie"/>
        <w:rPr>
          <w:sz w:val="16"/>
          <w:szCs w:val="16"/>
        </w:rPr>
      </w:pPr>
      <w:r w:rsidRPr="001965EF">
        <w:rPr>
          <w:sz w:val="16"/>
          <w:szCs w:val="16"/>
        </w:rPr>
        <w:t>Se impondrá sanción administrativa a los proveedores, participantes, postores y/o contratista que:</w:t>
      </w:r>
    </w:p>
    <w:p w:rsidR="00453557" w:rsidRPr="001965EF" w:rsidRDefault="00453557" w:rsidP="00453557">
      <w:pPr>
        <w:pStyle w:val="Textonotapie"/>
        <w:rPr>
          <w:sz w:val="16"/>
          <w:szCs w:val="16"/>
        </w:rPr>
      </w:pPr>
      <w:r w:rsidRPr="001965EF">
        <w:rPr>
          <w:sz w:val="16"/>
          <w:szCs w:val="16"/>
        </w:rPr>
        <w:t>a)No mantengan su oferta hasta el consentimiento de la buena pro o de resultar ganadores hasta la suscripción de contrato, no suscriban injustificadamente el contrato o no reciban la orden de compra o de servicio emitida a su favor.</w:t>
      </w:r>
    </w:p>
    <w:p w:rsidR="00453557" w:rsidRPr="001965EF" w:rsidRDefault="00453557" w:rsidP="00453557">
      <w:pPr>
        <w:pStyle w:val="Textonotapie"/>
        <w:rPr>
          <w:sz w:val="16"/>
          <w:szCs w:val="16"/>
        </w:rPr>
      </w:pPr>
      <w:r w:rsidRPr="001965EF">
        <w:rPr>
          <w:sz w:val="16"/>
          <w:szCs w:val="16"/>
        </w:rPr>
        <w:t>e) Participen en procesos de selección o suscriban un contrato sin contar con inscripción vigente en el Registro Nacional de Proveedores (RNP).</w:t>
      </w:r>
    </w:p>
    <w:p w:rsidR="00453557" w:rsidRDefault="00453557" w:rsidP="00453557">
      <w:pPr>
        <w:pStyle w:val="Textonotapie"/>
      </w:pPr>
    </w:p>
  </w:footnote>
  <w:footnote w:id="4">
    <w:p w:rsidR="00453557" w:rsidRPr="00196726" w:rsidRDefault="00453557" w:rsidP="00453557">
      <w:pPr>
        <w:pStyle w:val="Textonotapie"/>
        <w:ind w:left="142" w:hanging="142"/>
        <w:rPr>
          <w:b/>
          <w:bCs/>
          <w:sz w:val="16"/>
          <w:szCs w:val="16"/>
        </w:rPr>
      </w:pPr>
      <w:r w:rsidRPr="00196726">
        <w:rPr>
          <w:rStyle w:val="Refdenotaalpie"/>
          <w:i/>
          <w:iCs/>
          <w:sz w:val="16"/>
          <w:szCs w:val="16"/>
        </w:rPr>
        <w:footnoteRef/>
      </w:r>
      <w:r w:rsidRPr="00196726">
        <w:rPr>
          <w:b/>
          <w:bCs/>
          <w:i/>
          <w:iCs/>
          <w:sz w:val="16"/>
          <w:szCs w:val="16"/>
        </w:rPr>
        <w:t xml:space="preserve"> </w:t>
      </w:r>
      <w:r w:rsidRPr="00196726">
        <w:rPr>
          <w:b/>
          <w:bCs/>
          <w:sz w:val="16"/>
          <w:szCs w:val="16"/>
        </w:rPr>
        <w:t>Artículo 245.- Determinación gradual de la sanción.-</w:t>
      </w:r>
    </w:p>
    <w:p w:rsidR="00453557" w:rsidRPr="00196726" w:rsidRDefault="00453557" w:rsidP="00453557">
      <w:pPr>
        <w:pStyle w:val="Textonotapie"/>
        <w:ind w:left="142"/>
        <w:rPr>
          <w:sz w:val="16"/>
          <w:szCs w:val="16"/>
        </w:rPr>
      </w:pPr>
      <w:r w:rsidRPr="00196726">
        <w:rPr>
          <w:sz w:val="16"/>
          <w:szCs w:val="16"/>
        </w:rPr>
        <w:t>Para graduar la sanción a imponerse conforme a las disposiciones del presente Título, se considerarán los siguientes criterios:</w:t>
      </w:r>
    </w:p>
    <w:p w:rsidR="00453557" w:rsidRPr="00196726" w:rsidRDefault="00453557" w:rsidP="00453557">
      <w:pPr>
        <w:pStyle w:val="Textonotapie"/>
        <w:numPr>
          <w:ilvl w:val="0"/>
          <w:numId w:val="3"/>
        </w:numPr>
        <w:tabs>
          <w:tab w:val="clear" w:pos="720"/>
          <w:tab w:val="num" w:pos="284"/>
        </w:tabs>
        <w:ind w:left="284" w:firstLine="0"/>
        <w:rPr>
          <w:sz w:val="16"/>
          <w:szCs w:val="16"/>
        </w:rPr>
      </w:pPr>
      <w:r w:rsidRPr="00196726">
        <w:rPr>
          <w:sz w:val="16"/>
          <w:szCs w:val="16"/>
        </w:rPr>
        <w:t>Naturaleza de la infracción.</w:t>
      </w:r>
    </w:p>
    <w:p w:rsidR="00453557" w:rsidRPr="00196726" w:rsidRDefault="00453557" w:rsidP="00453557">
      <w:pPr>
        <w:pStyle w:val="Textonotapie"/>
        <w:numPr>
          <w:ilvl w:val="0"/>
          <w:numId w:val="3"/>
        </w:numPr>
        <w:tabs>
          <w:tab w:val="clear" w:pos="720"/>
          <w:tab w:val="num" w:pos="284"/>
        </w:tabs>
        <w:ind w:left="284" w:firstLine="0"/>
        <w:rPr>
          <w:sz w:val="16"/>
          <w:szCs w:val="16"/>
        </w:rPr>
      </w:pPr>
      <w:r w:rsidRPr="00196726">
        <w:rPr>
          <w:sz w:val="16"/>
          <w:szCs w:val="16"/>
        </w:rPr>
        <w:t>Intencionalidad del infractor.</w:t>
      </w:r>
    </w:p>
    <w:p w:rsidR="00453557" w:rsidRPr="00196726" w:rsidRDefault="00453557" w:rsidP="00453557">
      <w:pPr>
        <w:pStyle w:val="Textonotapie"/>
        <w:numPr>
          <w:ilvl w:val="0"/>
          <w:numId w:val="3"/>
        </w:numPr>
        <w:tabs>
          <w:tab w:val="clear" w:pos="720"/>
          <w:tab w:val="num" w:pos="284"/>
        </w:tabs>
        <w:ind w:left="284" w:firstLine="0"/>
        <w:rPr>
          <w:sz w:val="16"/>
          <w:szCs w:val="16"/>
        </w:rPr>
      </w:pPr>
      <w:r w:rsidRPr="00196726">
        <w:rPr>
          <w:sz w:val="16"/>
          <w:szCs w:val="16"/>
        </w:rPr>
        <w:t>Daño causado.</w:t>
      </w:r>
    </w:p>
    <w:p w:rsidR="00453557" w:rsidRPr="00196726" w:rsidRDefault="00453557" w:rsidP="00453557">
      <w:pPr>
        <w:pStyle w:val="Textonotapie"/>
        <w:numPr>
          <w:ilvl w:val="0"/>
          <w:numId w:val="3"/>
        </w:numPr>
        <w:tabs>
          <w:tab w:val="clear" w:pos="720"/>
          <w:tab w:val="num" w:pos="284"/>
        </w:tabs>
        <w:ind w:left="284" w:firstLine="0"/>
        <w:rPr>
          <w:sz w:val="16"/>
          <w:szCs w:val="16"/>
        </w:rPr>
      </w:pPr>
      <w:r w:rsidRPr="00196726">
        <w:rPr>
          <w:sz w:val="16"/>
          <w:szCs w:val="16"/>
        </w:rPr>
        <w:t>Reiterancia.</w:t>
      </w:r>
    </w:p>
    <w:p w:rsidR="00453557" w:rsidRPr="00196726" w:rsidRDefault="00453557" w:rsidP="00453557">
      <w:pPr>
        <w:pStyle w:val="Textonotapie"/>
        <w:numPr>
          <w:ilvl w:val="0"/>
          <w:numId w:val="3"/>
        </w:numPr>
        <w:tabs>
          <w:tab w:val="clear" w:pos="720"/>
          <w:tab w:val="num" w:pos="284"/>
        </w:tabs>
        <w:ind w:left="284" w:firstLine="0"/>
        <w:rPr>
          <w:sz w:val="16"/>
          <w:szCs w:val="16"/>
        </w:rPr>
      </w:pPr>
      <w:r w:rsidRPr="00196726">
        <w:rPr>
          <w:sz w:val="16"/>
          <w:szCs w:val="16"/>
        </w:rPr>
        <w:t>El reconocimiento de la infracción cometida antes de que sea detectada.</w:t>
      </w:r>
    </w:p>
    <w:p w:rsidR="00453557" w:rsidRPr="00196726" w:rsidRDefault="00453557" w:rsidP="00453557">
      <w:pPr>
        <w:pStyle w:val="Textonotapie"/>
        <w:numPr>
          <w:ilvl w:val="0"/>
          <w:numId w:val="3"/>
        </w:numPr>
        <w:tabs>
          <w:tab w:val="clear" w:pos="720"/>
          <w:tab w:val="num" w:pos="284"/>
        </w:tabs>
        <w:ind w:left="284" w:firstLine="0"/>
        <w:rPr>
          <w:sz w:val="16"/>
          <w:szCs w:val="16"/>
        </w:rPr>
      </w:pPr>
      <w:r w:rsidRPr="00196726">
        <w:rPr>
          <w:sz w:val="16"/>
          <w:szCs w:val="16"/>
        </w:rPr>
        <w:t>Circunstancias de tiempo, lugar y modo.</w:t>
      </w:r>
    </w:p>
    <w:p w:rsidR="00453557" w:rsidRPr="00196726" w:rsidRDefault="00453557" w:rsidP="00453557">
      <w:pPr>
        <w:pStyle w:val="Textonotapie"/>
        <w:numPr>
          <w:ilvl w:val="0"/>
          <w:numId w:val="3"/>
        </w:numPr>
        <w:tabs>
          <w:tab w:val="clear" w:pos="720"/>
          <w:tab w:val="num" w:pos="284"/>
        </w:tabs>
        <w:ind w:left="284" w:firstLine="0"/>
        <w:rPr>
          <w:sz w:val="16"/>
          <w:szCs w:val="16"/>
        </w:rPr>
      </w:pPr>
      <w:r w:rsidRPr="00196726">
        <w:rPr>
          <w:sz w:val="16"/>
          <w:szCs w:val="16"/>
        </w:rPr>
        <w:t>Condiciones del infractor.</w:t>
      </w:r>
    </w:p>
    <w:p w:rsidR="00453557" w:rsidRPr="00196726" w:rsidRDefault="00453557" w:rsidP="00453557">
      <w:pPr>
        <w:pStyle w:val="Textonotapie"/>
        <w:numPr>
          <w:ilvl w:val="0"/>
          <w:numId w:val="3"/>
        </w:numPr>
        <w:tabs>
          <w:tab w:val="clear" w:pos="720"/>
          <w:tab w:val="num" w:pos="284"/>
        </w:tabs>
        <w:ind w:left="284" w:firstLine="0"/>
        <w:rPr>
          <w:sz w:val="16"/>
          <w:szCs w:val="16"/>
        </w:rPr>
      </w:pPr>
      <w:r w:rsidRPr="00196726">
        <w:rPr>
          <w:sz w:val="16"/>
          <w:szCs w:val="16"/>
        </w:rPr>
        <w:t>Conducta procesal del infractor.</w:t>
      </w:r>
    </w:p>
    <w:p w:rsidR="00453557" w:rsidRDefault="00453557" w:rsidP="00453557">
      <w:pPr>
        <w:pStyle w:val="Textonotapie"/>
        <w:numPr>
          <w:ilvl w:val="0"/>
          <w:numId w:val="3"/>
        </w:numPr>
        <w:tabs>
          <w:tab w:val="clear" w:pos="720"/>
          <w:tab w:val="num" w:pos="284"/>
        </w:tabs>
        <w:ind w:left="284" w:firstLine="0"/>
      </w:pPr>
    </w:p>
  </w:footnote>
  <w:footnote w:id="5">
    <w:p w:rsidR="00453557" w:rsidRPr="00713CED" w:rsidRDefault="00453557" w:rsidP="00453557">
      <w:pPr>
        <w:pStyle w:val="Textonotapie"/>
        <w:tabs>
          <w:tab w:val="left" w:pos="360"/>
        </w:tabs>
        <w:ind w:left="360" w:hanging="360"/>
        <w:rPr>
          <w:i/>
          <w:iCs/>
          <w:sz w:val="16"/>
          <w:szCs w:val="16"/>
        </w:rPr>
      </w:pPr>
      <w:r w:rsidRPr="00713CED">
        <w:rPr>
          <w:rStyle w:val="Refdenotaalpie"/>
          <w:i/>
          <w:iCs/>
          <w:sz w:val="16"/>
          <w:szCs w:val="16"/>
        </w:rPr>
        <w:footnoteRef/>
      </w:r>
      <w:r w:rsidRPr="00713CED">
        <w:rPr>
          <w:i/>
          <w:iCs/>
          <w:sz w:val="16"/>
          <w:szCs w:val="16"/>
        </w:rPr>
        <w:t xml:space="preserve">  “</w:t>
      </w:r>
      <w:r w:rsidRPr="00713CED">
        <w:rPr>
          <w:b/>
          <w:bCs/>
          <w:i/>
          <w:iCs/>
          <w:sz w:val="16"/>
          <w:szCs w:val="16"/>
        </w:rPr>
        <w:t>Artículo 230.- Principios de la potestad sancionadora</w:t>
      </w:r>
    </w:p>
    <w:p w:rsidR="00453557" w:rsidRPr="00713CED" w:rsidRDefault="00453557" w:rsidP="00453557">
      <w:pPr>
        <w:pStyle w:val="Textonotapie"/>
        <w:tabs>
          <w:tab w:val="left" w:pos="360"/>
        </w:tabs>
        <w:ind w:left="360" w:hanging="360"/>
        <w:rPr>
          <w:i/>
          <w:iCs/>
          <w:sz w:val="16"/>
          <w:szCs w:val="16"/>
        </w:rPr>
      </w:pPr>
      <w:r w:rsidRPr="00713CED">
        <w:rPr>
          <w:i/>
          <w:iCs/>
          <w:sz w:val="16"/>
          <w:szCs w:val="16"/>
        </w:rPr>
        <w:tab/>
        <w:t>(…)</w:t>
      </w:r>
    </w:p>
    <w:p w:rsidR="00453557" w:rsidRPr="00713CED" w:rsidRDefault="00453557" w:rsidP="00453557">
      <w:pPr>
        <w:pStyle w:val="Textonotapie"/>
        <w:tabs>
          <w:tab w:val="left" w:pos="360"/>
        </w:tabs>
        <w:ind w:left="360" w:hanging="360"/>
        <w:rPr>
          <w:i/>
          <w:iCs/>
          <w:sz w:val="16"/>
          <w:szCs w:val="16"/>
        </w:rPr>
      </w:pPr>
      <w:r w:rsidRPr="00713CED">
        <w:rPr>
          <w:b/>
          <w:bCs/>
          <w:i/>
          <w:iCs/>
          <w:sz w:val="16"/>
          <w:szCs w:val="16"/>
        </w:rPr>
        <w:tab/>
        <w:t>3. Razonabilidad</w:t>
      </w:r>
      <w:r w:rsidRPr="00713CED">
        <w:rPr>
          <w:i/>
          <w:iCs/>
          <w:sz w:val="16"/>
          <w:szCs w:val="16"/>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453557" w:rsidRDefault="00453557" w:rsidP="00453557">
      <w:pPr>
        <w:pStyle w:val="Textonotapie"/>
        <w:tabs>
          <w:tab w:val="left" w:pos="360"/>
        </w:tabs>
        <w:ind w:left="360" w:hanging="360"/>
      </w:pPr>
      <w:r w:rsidRPr="00713CED">
        <w:rPr>
          <w:i/>
          <w:iCs/>
          <w:sz w:val="16"/>
          <w:szCs w:val="16"/>
        </w:rPr>
        <w:tab/>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0C3" w:rsidRDefault="00DD50C3" w:rsidP="00DD50C3">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DD50C3" w:rsidRDefault="00DD50C3" w:rsidP="00DD50C3">
    <w:pPr>
      <w:pStyle w:val="Encabezado"/>
      <w:rPr>
        <w:noProof/>
      </w:rPr>
    </w:pPr>
  </w:p>
  <w:p w:rsidR="00DD50C3" w:rsidRDefault="00DD50C3" w:rsidP="00DD50C3">
    <w:pPr>
      <w:pStyle w:val="Encabezado"/>
      <w:rPr>
        <w:noProof/>
      </w:rPr>
    </w:pPr>
  </w:p>
  <w:p w:rsidR="00DD50C3" w:rsidRDefault="00DD50C3" w:rsidP="00DD50C3">
    <w:pPr>
      <w:pStyle w:val="Encabezado"/>
      <w:rPr>
        <w:noProof/>
      </w:rPr>
    </w:pPr>
  </w:p>
  <w:p w:rsidR="00DD50C3" w:rsidRDefault="00DD50C3" w:rsidP="00DD50C3">
    <w:pPr>
      <w:pStyle w:val="Encabezado"/>
      <w:jc w:val="center"/>
    </w:pPr>
    <w:r>
      <w:rPr>
        <w:rFonts w:ascii="Monotype Corsiva" w:hAnsi="Monotype Corsiva"/>
        <w:b/>
        <w:sz w:val="44"/>
        <w:szCs w:val="44"/>
      </w:rPr>
      <w:t xml:space="preserve">Resolución Nº   </w:t>
    </w:r>
    <w:r>
      <w:rPr>
        <w:rFonts w:ascii="Tahoma" w:hAnsi="Tahoma" w:cs="Tahoma"/>
        <w:b/>
        <w:sz w:val="44"/>
        <w:szCs w:val="44"/>
      </w:rPr>
      <w:t>206-2011-TC-S1</w:t>
    </w:r>
  </w:p>
  <w:p w:rsidR="00DD50C3" w:rsidRDefault="00DD50C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24358"/>
    <w:multiLevelType w:val="hybridMultilevel"/>
    <w:tmpl w:val="38627852"/>
    <w:lvl w:ilvl="0" w:tplc="593EFBF6">
      <w:start w:val="1"/>
      <w:numFmt w:val="decimal"/>
      <w:lvlText w:val="%1."/>
      <w:lvlJc w:val="left"/>
      <w:pPr>
        <w:tabs>
          <w:tab w:val="num" w:pos="720"/>
        </w:tabs>
        <w:ind w:left="720" w:hanging="360"/>
      </w:pPr>
      <w:rPr>
        <w:rFonts w:hint="default"/>
        <w:b/>
        <w:bCs/>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
    <w:nsid w:val="2A604CF2"/>
    <w:multiLevelType w:val="hybridMultilevel"/>
    <w:tmpl w:val="505C682E"/>
    <w:lvl w:ilvl="0" w:tplc="36582308">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nsid w:val="2BCC5AA7"/>
    <w:multiLevelType w:val="hybridMultilevel"/>
    <w:tmpl w:val="1C4E58BA"/>
    <w:lvl w:ilvl="0" w:tplc="0C0A001B">
      <w:start w:val="1"/>
      <w:numFmt w:val="lowerRoman"/>
      <w:lvlText w:val="%1."/>
      <w:lvlJc w:val="right"/>
      <w:pPr>
        <w:ind w:left="1428" w:hanging="360"/>
      </w:pPr>
    </w:lvl>
    <w:lvl w:ilvl="1" w:tplc="0C0A0019">
      <w:start w:val="1"/>
      <w:numFmt w:val="lowerLetter"/>
      <w:lvlText w:val="%2."/>
      <w:lvlJc w:val="left"/>
      <w:pPr>
        <w:ind w:left="2148" w:hanging="360"/>
      </w:pPr>
    </w:lvl>
    <w:lvl w:ilvl="2" w:tplc="0C0A001B">
      <w:start w:val="1"/>
      <w:numFmt w:val="lowerRoman"/>
      <w:lvlText w:val="%3."/>
      <w:lvlJc w:val="right"/>
      <w:pPr>
        <w:ind w:left="2868" w:hanging="180"/>
      </w:pPr>
    </w:lvl>
    <w:lvl w:ilvl="3" w:tplc="0C0A000F">
      <w:start w:val="1"/>
      <w:numFmt w:val="decimal"/>
      <w:lvlText w:val="%4."/>
      <w:lvlJc w:val="left"/>
      <w:pPr>
        <w:ind w:left="3588" w:hanging="360"/>
      </w:pPr>
    </w:lvl>
    <w:lvl w:ilvl="4" w:tplc="0C0A0019">
      <w:start w:val="1"/>
      <w:numFmt w:val="lowerLetter"/>
      <w:lvlText w:val="%5."/>
      <w:lvlJc w:val="left"/>
      <w:pPr>
        <w:ind w:left="4308" w:hanging="360"/>
      </w:pPr>
    </w:lvl>
    <w:lvl w:ilvl="5" w:tplc="0C0A001B">
      <w:start w:val="1"/>
      <w:numFmt w:val="lowerRoman"/>
      <w:lvlText w:val="%6."/>
      <w:lvlJc w:val="right"/>
      <w:pPr>
        <w:ind w:left="5028" w:hanging="180"/>
      </w:pPr>
    </w:lvl>
    <w:lvl w:ilvl="6" w:tplc="0C0A000F">
      <w:start w:val="1"/>
      <w:numFmt w:val="decimal"/>
      <w:lvlText w:val="%7."/>
      <w:lvlJc w:val="left"/>
      <w:pPr>
        <w:ind w:left="5748" w:hanging="360"/>
      </w:pPr>
    </w:lvl>
    <w:lvl w:ilvl="7" w:tplc="0C0A0019">
      <w:start w:val="1"/>
      <w:numFmt w:val="lowerLetter"/>
      <w:lvlText w:val="%8."/>
      <w:lvlJc w:val="left"/>
      <w:pPr>
        <w:ind w:left="6468" w:hanging="360"/>
      </w:pPr>
    </w:lvl>
    <w:lvl w:ilvl="8" w:tplc="0C0A001B">
      <w:start w:val="1"/>
      <w:numFmt w:val="lowerRoman"/>
      <w:lvlText w:val="%9."/>
      <w:lvlJc w:val="right"/>
      <w:pPr>
        <w:ind w:left="7188" w:hanging="180"/>
      </w:pPr>
    </w:lvl>
  </w:abstractNum>
  <w:abstractNum w:abstractNumId="3">
    <w:nsid w:val="2EF0734A"/>
    <w:multiLevelType w:val="hybridMultilevel"/>
    <w:tmpl w:val="972CF9BA"/>
    <w:lvl w:ilvl="0" w:tplc="117ABD30">
      <w:start w:val="1"/>
      <w:numFmt w:val="upperRoman"/>
      <w:lvlText w:val="%1."/>
      <w:lvlJc w:val="right"/>
      <w:pPr>
        <w:ind w:left="1440" w:hanging="360"/>
      </w:pPr>
      <w:rPr>
        <w:sz w:val="20"/>
        <w:szCs w:val="20"/>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4">
    <w:nsid w:val="51B8397D"/>
    <w:multiLevelType w:val="hybridMultilevel"/>
    <w:tmpl w:val="F982B062"/>
    <w:lvl w:ilvl="0" w:tplc="6FB00CFE">
      <w:start w:val="1"/>
      <w:numFmt w:val="lowerRoman"/>
      <w:lvlText w:val="%1)"/>
      <w:lvlJc w:val="left"/>
      <w:pPr>
        <w:tabs>
          <w:tab w:val="num" w:pos="1080"/>
        </w:tabs>
        <w:ind w:left="1080" w:hanging="720"/>
      </w:pPr>
    </w:lvl>
    <w:lvl w:ilvl="1" w:tplc="534C01EA">
      <w:start w:val="1"/>
      <w:numFmt w:val="decimal"/>
      <w:lvlText w:val="%2."/>
      <w:lvlJc w:val="left"/>
      <w:pPr>
        <w:tabs>
          <w:tab w:val="num" w:pos="644"/>
        </w:tabs>
        <w:ind w:left="644" w:hanging="360"/>
      </w:pPr>
      <w:rPr>
        <w:b/>
        <w:bCs/>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58EA581A"/>
    <w:multiLevelType w:val="hybridMultilevel"/>
    <w:tmpl w:val="60B2E28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60AB42CA"/>
    <w:multiLevelType w:val="hybridMultilevel"/>
    <w:tmpl w:val="EAFC767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6FC5190B"/>
    <w:multiLevelType w:val="hybridMultilevel"/>
    <w:tmpl w:val="79FC44BE"/>
    <w:lvl w:ilvl="0" w:tplc="937451A4">
      <w:start w:val="1"/>
      <w:numFmt w:val="bullet"/>
      <w:lvlText w:val="−"/>
      <w:lvlJc w:val="left"/>
      <w:pPr>
        <w:tabs>
          <w:tab w:val="num" w:pos="1965"/>
        </w:tabs>
        <w:ind w:left="1965" w:hanging="360"/>
      </w:pPr>
      <w:rPr>
        <w:rFonts w:ascii="Times New Roman" w:eastAsia="Times New Roman" w:hAnsi="Times New Roman" w:hint="default"/>
      </w:rPr>
    </w:lvl>
    <w:lvl w:ilvl="1" w:tplc="0C0A0019">
      <w:start w:val="3"/>
      <w:numFmt w:val="upperRoman"/>
      <w:lvlText w:val="%2."/>
      <w:lvlJc w:val="left"/>
      <w:pPr>
        <w:tabs>
          <w:tab w:val="num" w:pos="1800"/>
        </w:tabs>
        <w:ind w:left="1800" w:hanging="720"/>
      </w:pPr>
      <w:rPr>
        <w:rFonts w:hint="default"/>
        <w:b w:val="0"/>
        <w:bCs w:val="0"/>
      </w:rPr>
    </w:lvl>
    <w:lvl w:ilvl="2" w:tplc="0C0A001B">
      <w:start w:val="1"/>
      <w:numFmt w:val="decimal"/>
      <w:lvlText w:val="3.%3"/>
      <w:lvlJc w:val="left"/>
      <w:pPr>
        <w:tabs>
          <w:tab w:val="num" w:pos="2160"/>
        </w:tabs>
        <w:ind w:left="2160" w:hanging="360"/>
      </w:pPr>
      <w:rPr>
        <w:rFonts w:hint="default"/>
      </w:rPr>
    </w:lvl>
    <w:lvl w:ilvl="3" w:tplc="0C0A000F">
      <w:start w:val="1"/>
      <w:numFmt w:val="lowerLetter"/>
      <w:lvlText w:val="%4)"/>
      <w:lvlJc w:val="left"/>
      <w:pPr>
        <w:tabs>
          <w:tab w:val="num" w:pos="2880"/>
        </w:tabs>
        <w:ind w:left="2880" w:hanging="360"/>
      </w:pPr>
      <w:rPr>
        <w:rFonts w:hint="default"/>
      </w:rPr>
    </w:lvl>
    <w:lvl w:ilvl="4" w:tplc="0C0A0019">
      <w:start w:val="1"/>
      <w:numFmt w:val="decimal"/>
      <w:lvlText w:val="%5"/>
      <w:lvlJc w:val="left"/>
      <w:pPr>
        <w:ind w:left="3600" w:hanging="360"/>
      </w:pPr>
      <w:rPr>
        <w:rFonts w:hint="default"/>
      </w:rPr>
    </w:lvl>
    <w:lvl w:ilvl="5" w:tplc="0C0A001B">
      <w:start w:val="1"/>
      <w:numFmt w:val="decimal"/>
      <w:lvlText w:val="%6."/>
      <w:lvlJc w:val="left"/>
      <w:pPr>
        <w:ind w:left="4320" w:hanging="360"/>
      </w:pPr>
      <w:rPr>
        <w:rFonts w:hint="default"/>
      </w:rPr>
    </w:lvl>
    <w:lvl w:ilvl="6" w:tplc="0C0A000F">
      <w:start w:val="1"/>
      <w:numFmt w:val="bullet"/>
      <w:lvlText w:val=""/>
      <w:lvlJc w:val="left"/>
      <w:pPr>
        <w:tabs>
          <w:tab w:val="num" w:pos="5040"/>
        </w:tabs>
        <w:ind w:left="5040" w:hanging="360"/>
      </w:pPr>
      <w:rPr>
        <w:rFonts w:ascii="Symbol" w:hAnsi="Symbol" w:cs="Symbol" w:hint="default"/>
      </w:rPr>
    </w:lvl>
    <w:lvl w:ilvl="7" w:tplc="0C0A0019">
      <w:start w:val="1"/>
      <w:numFmt w:val="bullet"/>
      <w:lvlText w:val="o"/>
      <w:lvlJc w:val="left"/>
      <w:pPr>
        <w:tabs>
          <w:tab w:val="num" w:pos="5760"/>
        </w:tabs>
        <w:ind w:left="5760" w:hanging="360"/>
      </w:pPr>
      <w:rPr>
        <w:rFonts w:ascii="Courier New" w:hAnsi="Courier New" w:cs="Courier New" w:hint="default"/>
      </w:rPr>
    </w:lvl>
    <w:lvl w:ilvl="8" w:tplc="0C0A001B">
      <w:start w:val="1"/>
      <w:numFmt w:val="bullet"/>
      <w:lvlText w:val=""/>
      <w:lvlJc w:val="left"/>
      <w:pPr>
        <w:tabs>
          <w:tab w:val="num" w:pos="6480"/>
        </w:tabs>
        <w:ind w:left="6480" w:hanging="360"/>
      </w:pPr>
      <w:rPr>
        <w:rFonts w:ascii="Wingdings" w:hAnsi="Wingdings" w:cs="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453557"/>
    <w:rsid w:val="00211D1B"/>
    <w:rsid w:val="002E74F7"/>
    <w:rsid w:val="003B143E"/>
    <w:rsid w:val="00453557"/>
    <w:rsid w:val="005703B5"/>
    <w:rsid w:val="0066645E"/>
    <w:rsid w:val="008D5C6D"/>
    <w:rsid w:val="0096071E"/>
    <w:rsid w:val="00A60941"/>
    <w:rsid w:val="00DD50C3"/>
    <w:rsid w:val="00E1075C"/>
    <w:rsid w:val="00E732B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557"/>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453557"/>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453557"/>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453557"/>
  </w:style>
  <w:style w:type="paragraph" w:styleId="Textoindependiente">
    <w:name w:val="Body Text"/>
    <w:basedOn w:val="Normal"/>
    <w:link w:val="TextoindependienteCar"/>
    <w:rsid w:val="00453557"/>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453557"/>
    <w:rPr>
      <w:rFonts w:ascii="Tahoma" w:eastAsia="Times New Roman" w:hAnsi="Tahoma" w:cs="Times New Roman"/>
      <w:szCs w:val="20"/>
      <w:lang w:val="es-ES_tradnl" w:eastAsia="es-ES"/>
    </w:rPr>
  </w:style>
  <w:style w:type="paragraph" w:customStyle="1" w:styleId="Textoindependiente21">
    <w:name w:val="Texto independiente 21"/>
    <w:basedOn w:val="Normal"/>
    <w:rsid w:val="00453557"/>
    <w:pPr>
      <w:jc w:val="both"/>
    </w:pPr>
    <w:rPr>
      <w:rFonts w:ascii="Tahoma" w:hAnsi="Tahoma"/>
      <w:sz w:val="22"/>
    </w:rPr>
  </w:style>
  <w:style w:type="paragraph" w:styleId="Textoindependiente3">
    <w:name w:val="Body Text 3"/>
    <w:basedOn w:val="Normal"/>
    <w:link w:val="Textoindependiente3Car"/>
    <w:rsid w:val="00453557"/>
    <w:pPr>
      <w:spacing w:after="120"/>
    </w:pPr>
    <w:rPr>
      <w:sz w:val="16"/>
      <w:szCs w:val="16"/>
      <w:lang w:val="es-PE"/>
    </w:rPr>
  </w:style>
  <w:style w:type="character" w:customStyle="1" w:styleId="Textoindependiente3Car">
    <w:name w:val="Texto independiente 3 Car"/>
    <w:basedOn w:val="Fuentedeprrafopredeter"/>
    <w:link w:val="Textoindependiente3"/>
    <w:rsid w:val="00453557"/>
    <w:rPr>
      <w:rFonts w:ascii="Times New Roman" w:eastAsia="Times New Roman" w:hAnsi="Times New Roman" w:cs="Times New Roman"/>
      <w:sz w:val="16"/>
      <w:szCs w:val="16"/>
      <w:lang w:val="es-PE" w:eastAsia="es-ES"/>
    </w:rPr>
  </w:style>
  <w:style w:type="paragraph" w:styleId="Textonotapie">
    <w:name w:val="footnote text"/>
    <w:aliases w:val="Car,Car Car,Texto nota pie1,Car4,Texto independiente1"/>
    <w:basedOn w:val="Normal"/>
    <w:link w:val="TextonotapieCar"/>
    <w:uiPriority w:val="99"/>
    <w:semiHidden/>
    <w:rsid w:val="00453557"/>
  </w:style>
  <w:style w:type="character" w:customStyle="1" w:styleId="TextonotapieCar">
    <w:name w:val="Texto nota pie Car"/>
    <w:aliases w:val="Car Car1,Car Car Car,Texto nota pie1 Car,Car4 Car,Texto independiente1 Car"/>
    <w:basedOn w:val="Fuentedeprrafopredeter"/>
    <w:link w:val="Textonotapie"/>
    <w:uiPriority w:val="99"/>
    <w:semiHidden/>
    <w:rsid w:val="00453557"/>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453557"/>
    <w:rPr>
      <w:vertAlign w:val="superscript"/>
    </w:rPr>
  </w:style>
  <w:style w:type="paragraph" w:styleId="Prrafodelista">
    <w:name w:val="List Paragraph"/>
    <w:basedOn w:val="Normal"/>
    <w:uiPriority w:val="99"/>
    <w:qFormat/>
    <w:rsid w:val="00453557"/>
    <w:pPr>
      <w:widowControl w:val="0"/>
      <w:suppressAutoHyphens/>
      <w:ind w:left="708"/>
    </w:pPr>
    <w:rPr>
      <w:rFonts w:ascii="Tahoma" w:hAnsi="Tahoma" w:cs="Tahoma"/>
      <w:sz w:val="24"/>
      <w:szCs w:val="24"/>
      <w:lang w:val="es-ES_tradnl"/>
    </w:rPr>
  </w:style>
  <w:style w:type="paragraph" w:styleId="Encabezado">
    <w:name w:val="header"/>
    <w:aliases w:val="maria,h"/>
    <w:basedOn w:val="Normal"/>
    <w:link w:val="EncabezadoCar"/>
    <w:uiPriority w:val="99"/>
    <w:semiHidden/>
    <w:unhideWhenUsed/>
    <w:rsid w:val="00DD50C3"/>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DD50C3"/>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divs>
    <w:div w:id="174479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2757</Words>
  <Characters>15164</Characters>
  <Application>Microsoft Office Word</Application>
  <DocSecurity>0</DocSecurity>
  <Lines>126</Lines>
  <Paragraphs>35</Paragraphs>
  <ScaleCrop>false</ScaleCrop>
  <Company/>
  <LinksUpToDate>false</LinksUpToDate>
  <CharactersWithSpaces>17886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6</cp:revision>
  <cp:lastPrinted>2011-02-09T13:50:00Z</cp:lastPrinted>
  <dcterms:created xsi:type="dcterms:W3CDTF">2011-02-09T13:26:00Z</dcterms:created>
  <dcterms:modified xsi:type="dcterms:W3CDTF">2011-03-07T16:34:00Z</dcterms:modified>
</cp:coreProperties>
</file>